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118"/>
        <w:rPr>
          <w:rFonts w:ascii="黑体"/>
          <w:sz w:val="24"/>
        </w:rPr>
      </w:pPr>
      <w:r>
        <w:rPr>
          <w:rFonts w:hint="eastAsia" w:ascii="黑体" w:eastAsia="黑体"/>
        </w:rPr>
        <w:t>附件 4</w:t>
      </w:r>
    </w:p>
    <w:p>
      <w:pPr>
        <w:pStyle w:val="2"/>
        <w:spacing w:before="57"/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>干旱灾害分级及预警措施</w:t>
      </w:r>
    </w:p>
    <w:p>
      <w:pPr>
        <w:pStyle w:val="3"/>
        <w:spacing w:before="8"/>
        <w:rPr>
          <w:sz w:val="20"/>
        </w:rPr>
      </w:pPr>
    </w:p>
    <w:tbl>
      <w:tblPr>
        <w:tblStyle w:val="4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3198"/>
        <w:gridCol w:w="3319"/>
        <w:gridCol w:w="3077"/>
        <w:gridCol w:w="31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7" w:type="dxa"/>
          </w:tcPr>
          <w:p>
            <w:pPr>
              <w:pStyle w:val="6"/>
              <w:spacing w:before="31" w:line="360" w:lineRule="exact"/>
              <w:ind w:left="218" w:right="211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灾害分级</w:t>
            </w:r>
          </w:p>
        </w:tc>
        <w:tc>
          <w:tcPr>
            <w:tcW w:w="3198" w:type="dxa"/>
          </w:tcPr>
          <w:p>
            <w:pPr>
              <w:pStyle w:val="6"/>
              <w:spacing w:before="186"/>
              <w:ind w:left="278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轻度干旱（蓝色）</w:t>
            </w:r>
          </w:p>
        </w:tc>
        <w:tc>
          <w:tcPr>
            <w:tcW w:w="3319" w:type="dxa"/>
          </w:tcPr>
          <w:p>
            <w:pPr>
              <w:pStyle w:val="6"/>
              <w:spacing w:before="186"/>
              <w:ind w:left="338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中度干旱（黄色）</w:t>
            </w:r>
          </w:p>
        </w:tc>
        <w:tc>
          <w:tcPr>
            <w:tcW w:w="3077" w:type="dxa"/>
          </w:tcPr>
          <w:p>
            <w:pPr>
              <w:pStyle w:val="6"/>
              <w:spacing w:before="186"/>
              <w:ind w:left="22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严重干旱（橙色）</w:t>
            </w:r>
          </w:p>
        </w:tc>
        <w:tc>
          <w:tcPr>
            <w:tcW w:w="3198" w:type="dxa"/>
          </w:tcPr>
          <w:p>
            <w:pPr>
              <w:pStyle w:val="6"/>
              <w:spacing w:before="186"/>
              <w:ind w:left="278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特大干旱（红色）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1107" w:type="dxa"/>
          </w:tcPr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spacing w:before="2"/>
              <w:rPr>
                <w:sz w:val="23"/>
              </w:rPr>
            </w:pPr>
          </w:p>
          <w:p>
            <w:pPr>
              <w:pStyle w:val="6"/>
              <w:spacing w:before="1" w:line="211" w:lineRule="auto"/>
              <w:ind w:left="389" w:right="378"/>
              <w:jc w:val="both"/>
              <w:rPr>
                <w:sz w:val="30"/>
              </w:rPr>
            </w:pPr>
            <w:r>
              <w:rPr>
                <w:sz w:val="30"/>
              </w:rPr>
              <w:t>分级标准</w:t>
            </w:r>
          </w:p>
        </w:tc>
        <w:tc>
          <w:tcPr>
            <w:tcW w:w="3198" w:type="dxa"/>
          </w:tcPr>
          <w:p>
            <w:pPr>
              <w:pStyle w:val="6"/>
              <w:spacing w:before="169" w:line="266" w:lineRule="auto"/>
              <w:ind w:left="233" w:right="150" w:firstLine="578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8"/>
              </w:rPr>
              <w:t>当全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</w:rPr>
              <w:t>作物受旱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</w:rPr>
              <w:t>面积占播种面积的比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例达</w:t>
            </w:r>
            <w:r>
              <w:rPr>
                <w:rFonts w:hint="eastAsia" w:ascii="仿宋_GB2312" w:hAnsi="仿宋_GB2312" w:eastAsia="仿宋_GB2312" w:cs="仿宋_GB2312"/>
                <w:spacing w:val="-71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8"/>
                <w:w w:val="100"/>
                <w:sz w:val="28"/>
              </w:rPr>
              <w:drawing>
                <wp:inline distT="0" distB="0" distL="0" distR="0">
                  <wp:extent cx="74930" cy="134620"/>
                  <wp:effectExtent l="0" t="0" r="1270" b="17780"/>
                  <wp:docPr id="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" cy="1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旱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</w:rPr>
              <w:t>造成临时性饮水困难</w:t>
            </w:r>
            <w:r>
              <w:rPr>
                <w:rFonts w:hint="eastAsia" w:ascii="仿宋_GB2312" w:hAnsi="仿宋_GB2312" w:eastAsia="仿宋_GB2312" w:cs="仿宋_GB2312"/>
                <w:spacing w:val="-19"/>
                <w:sz w:val="28"/>
              </w:rPr>
              <w:t xml:space="preserve">人口达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25"/>
                <w:sz w:val="28"/>
              </w:rPr>
              <w:t xml:space="preserve"> 万人以上，为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</w:rPr>
              <w:t>轻度干旱。</w:t>
            </w:r>
          </w:p>
        </w:tc>
        <w:tc>
          <w:tcPr>
            <w:tcW w:w="3319" w:type="dxa"/>
          </w:tcPr>
          <w:p>
            <w:pPr>
              <w:pStyle w:val="6"/>
              <w:spacing w:before="9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6"/>
              <w:spacing w:line="268" w:lineRule="auto"/>
              <w:ind w:left="233" w:right="151" w:firstLine="578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</w:rPr>
              <w:t>当全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</w:rPr>
              <w:t>作物受旱面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积占播种面积的比例达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</w:rPr>
              <w:t>35</w:t>
            </w:r>
            <w:r>
              <w:rPr>
                <w:rFonts w:hint="eastAsia" w:ascii="仿宋_GB2312" w:hAnsi="仿宋_GB2312" w:eastAsia="仿宋_GB2312" w:cs="仿宋_GB2312"/>
                <w:spacing w:val="-138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w w:val="100"/>
                <w:sz w:val="28"/>
              </w:rPr>
              <w:drawing>
                <wp:inline distT="0" distB="0" distL="0" distR="0">
                  <wp:extent cx="74930" cy="134620"/>
                  <wp:effectExtent l="0" t="0" r="1270" b="17780"/>
                  <wp:docPr id="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" cy="1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以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上</w:t>
            </w:r>
            <w:r>
              <w:rPr>
                <w:rFonts w:hint="eastAsia" w:ascii="仿宋_GB2312" w:hAnsi="仿宋_GB2312" w:eastAsia="仿宋_GB2312" w:cs="仿宋_GB2312"/>
                <w:spacing w:val="-99"/>
                <w:sz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旱造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临</w:t>
            </w:r>
          </w:p>
          <w:p>
            <w:pPr>
              <w:pStyle w:val="6"/>
              <w:spacing w:line="268" w:lineRule="auto"/>
              <w:ind w:left="233" w:right="11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</w:rPr>
              <w:t>时性饮水困难人口达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</w:rPr>
              <w:t>万人以上，为中度干旱。</w:t>
            </w:r>
          </w:p>
        </w:tc>
        <w:tc>
          <w:tcPr>
            <w:tcW w:w="3077" w:type="dxa"/>
          </w:tcPr>
          <w:p>
            <w:pPr>
              <w:pStyle w:val="6"/>
              <w:spacing w:before="169" w:line="266" w:lineRule="auto"/>
              <w:ind w:left="232" w:right="95" w:firstLine="58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</w:rPr>
              <w:t>当全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</w:rPr>
              <w:t>作物受旱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</w:rPr>
              <w:t>面积占播种面积的比例达</w:t>
            </w:r>
            <w:r>
              <w:rPr>
                <w:rFonts w:hint="eastAsia" w:ascii="仿宋_GB2312" w:hAnsi="仿宋_GB2312" w:eastAsia="仿宋_GB2312" w:cs="仿宋_GB2312"/>
                <w:spacing w:val="-70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</w:rPr>
              <w:t>50</w:t>
            </w:r>
            <w:r>
              <w:rPr>
                <w:rFonts w:hint="eastAsia" w:ascii="仿宋_GB2312" w:hAnsi="仿宋_GB2312" w:eastAsia="仿宋_GB2312" w:cs="仿宋_GB2312"/>
                <w:spacing w:val="8"/>
                <w:w w:val="100"/>
                <w:sz w:val="28"/>
              </w:rPr>
              <w:drawing>
                <wp:inline distT="0" distB="0" distL="0" distR="0">
                  <wp:extent cx="74930" cy="134620"/>
                  <wp:effectExtent l="0" t="0" r="1270" b="17780"/>
                  <wp:docPr id="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" cy="1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pacing w:val="-128"/>
                <w:sz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旱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</w:rPr>
              <w:t>造成临时性饮水困难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</w:rPr>
              <w:t xml:space="preserve">人口达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15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</w:rPr>
              <w:t xml:space="preserve"> 万人以上，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为严重干旱。</w:t>
            </w:r>
          </w:p>
        </w:tc>
        <w:tc>
          <w:tcPr>
            <w:tcW w:w="3198" w:type="dxa"/>
          </w:tcPr>
          <w:p>
            <w:pPr>
              <w:pStyle w:val="6"/>
              <w:spacing w:before="169" w:line="266" w:lineRule="auto"/>
              <w:ind w:left="233" w:right="150" w:firstLine="578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8"/>
              </w:rPr>
              <w:t>当全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</w:rPr>
              <w:t>作物受旱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</w:rPr>
              <w:t>面积占播种面积的比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例达</w:t>
            </w:r>
            <w:r>
              <w:rPr>
                <w:rFonts w:hint="eastAsia" w:ascii="仿宋_GB2312" w:hAnsi="仿宋_GB2312" w:eastAsia="仿宋_GB2312" w:cs="仿宋_GB2312"/>
                <w:spacing w:val="-70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</w:rPr>
              <w:t>65</w:t>
            </w:r>
            <w:r>
              <w:rPr>
                <w:rFonts w:hint="eastAsia" w:ascii="仿宋_GB2312" w:hAnsi="仿宋_GB2312" w:eastAsia="仿宋_GB2312" w:cs="仿宋_GB2312"/>
                <w:spacing w:val="8"/>
                <w:w w:val="100"/>
                <w:sz w:val="28"/>
              </w:rPr>
              <w:drawing>
                <wp:inline distT="0" distB="0" distL="0" distR="0">
                  <wp:extent cx="74930" cy="134620"/>
                  <wp:effectExtent l="0" t="0" r="1270" b="17780"/>
                  <wp:docPr id="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" cy="1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旱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</w:rPr>
              <w:t>造成临时性饮水困难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</w:rPr>
              <w:t xml:space="preserve">人口达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</w:rPr>
              <w:t xml:space="preserve"> 万人以上，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</w:rPr>
              <w:t>为特大干旱。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107" w:type="dxa"/>
          </w:tcPr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rPr>
                <w:sz w:val="30"/>
              </w:rPr>
            </w:pPr>
          </w:p>
          <w:p>
            <w:pPr>
              <w:pStyle w:val="6"/>
              <w:spacing w:before="193" w:line="211" w:lineRule="auto"/>
              <w:ind w:left="389" w:right="378"/>
              <w:jc w:val="both"/>
              <w:rPr>
                <w:sz w:val="3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-352425</wp:posOffset>
                      </wp:positionH>
                      <wp:positionV relativeFrom="page">
                        <wp:posOffset>1953895</wp:posOffset>
                      </wp:positionV>
                      <wp:extent cx="203835" cy="203835"/>
                      <wp:effectExtent l="0" t="0" r="0" b="0"/>
                      <wp:wrapNone/>
                      <wp:docPr id="17" name="文本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" cy="203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line="156" w:lineRule="auto"/>
                                    <w:ind w:left="20" w:right="0" w:firstLine="0"/>
                                    <w:jc w:val="left"/>
                                    <w:rPr>
                                      <w:rFonts w:hint="eastAsia" w:eastAsia="宋体"/>
                                      <w:sz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00"/>
                                      <w:sz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0" o:spid="_x0000_s1026" o:spt="202" type="#_x0000_t202" style="position:absolute;left:0pt;margin-left:-27.75pt;margin-top:153.85pt;height:16.05pt;width:16.05pt;mso-position-horizontal-relative:page;mso-position-vertical-relative:page;z-index:251659264;mso-width-relative:page;mso-height-relative:page;" filled="f" stroked="f" coordsize="21600,21600" o:gfxdata="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6/n+22AAAAAsBAAAPAAAAAAAAAAEAIAAAACIAAABkcnMvZG93bnJldi54bWxQ&#10;SwECFAAUAAAACACHTuJAmGNIcL4BAACBAwAADgAAAAAAAAABACAAAAAn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  <w:sz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0"/>
              </w:rPr>
              <w:t>预警措施</w:t>
            </w:r>
          </w:p>
        </w:tc>
        <w:tc>
          <w:tcPr>
            <w:tcW w:w="6517" w:type="dxa"/>
            <w:gridSpan w:val="2"/>
          </w:tcPr>
          <w:p>
            <w:pPr>
              <w:pStyle w:val="6"/>
              <w:spacing w:before="192" w:line="266" w:lineRule="auto"/>
              <w:ind w:left="233" w:right="213" w:firstLine="578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预警地区要加强值班，密切关注旱情态势和群众用水需求；对抗旱责任落实、抗旱物资、供水管网和抗旱设施进行检查和维护；调度行政区域内水库、闸坝等所蓄的水量；做好启用应急备用水源或开发新的应急水源准备；设置临时抽水泵站，开挖输水渠道，临时在河流沟渠内截水； 组织向人畜饮水困难地区送水。</w:t>
            </w:r>
          </w:p>
        </w:tc>
        <w:tc>
          <w:tcPr>
            <w:tcW w:w="6275" w:type="dxa"/>
            <w:gridSpan w:val="2"/>
          </w:tcPr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6"/>
              <w:spacing w:before="232" w:line="268" w:lineRule="auto"/>
              <w:ind w:left="232" w:right="109" w:firstLine="58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</w:rPr>
              <w:t>在落实轻度干旱、中度干旱措施基础上，要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</w:rPr>
              <w:t>压减供水指标；限制或者暂停高耗水工业、服务业等行业用水；限制或者暂停排放工业污水；缩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小农业供水范围或者减少农业供水量；限时、限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</w:rPr>
              <w:t>量供应城镇居民生活用水。</w:t>
            </w:r>
          </w:p>
        </w:tc>
      </w:tr>
    </w:tbl>
    <w:p>
      <w:pPr>
        <w:pStyle w:val="3"/>
        <w:spacing w:before="8"/>
        <w:rPr>
          <w:sz w:val="6"/>
        </w:rPr>
      </w:pPr>
    </w:p>
    <w:p>
      <w:pPr>
        <w:spacing w:before="67"/>
        <w:ind w:left="252" w:right="0" w:firstLine="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page">
                  <wp:posOffset>6510655</wp:posOffset>
                </wp:positionV>
                <wp:extent cx="203835" cy="203835"/>
                <wp:effectExtent l="0" t="0" r="0" b="0"/>
                <wp:wrapNone/>
                <wp:docPr id="18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56" w:lineRule="auto"/>
                              <w:ind w:left="20" w:right="0" w:firstLine="0"/>
                              <w:jc w:val="left"/>
                              <w:rPr>
                                <w:rFonts w:hint="eastAsia" w:eastAsia="宋体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44.35pt;margin-top:512.65pt;height:16.05pt;width:16.05pt;mso-position-horizontal-relative:page;mso-position-vertical-relative:page;z-index:251660288;mso-width-relative:page;mso-height-relative:page;" filled="f" stroked="f" coordsize="21600,21600" o:gfxdata="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GD2tPWAAAADAEAAA8AAAAAAAAAAQAgAAAAIgAAAGRycy9kb3ducmV2LnhtbFBL&#10;AQIUABQAAAAIAIdO4kA6ayCkvwEAAIEDAAAOAAAAAAAAAAEAIAAAACU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spacing w:before="0" w:line="156" w:lineRule="auto"/>
                        <w:ind w:left="20" w:right="0" w:firstLine="0"/>
                        <w:jc w:val="left"/>
                        <w:rPr>
                          <w:rFonts w:hint="eastAsia" w:eastAsia="宋体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607695</wp:posOffset>
                </wp:positionH>
                <wp:positionV relativeFrom="page">
                  <wp:posOffset>6268720</wp:posOffset>
                </wp:positionV>
                <wp:extent cx="203835" cy="203200"/>
                <wp:effectExtent l="0" t="0" r="0" b="0"/>
                <wp:wrapNone/>
                <wp:docPr id="19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21" w:lineRule="exact"/>
                              <w:ind w:left="2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47.85pt;margin-top:493.6pt;height:16pt;width:16.05pt;mso-position-horizontal-relative:page;mso-position-vertical-relative:page;z-index:251660288;mso-width-relative:page;mso-height-relative:page;" filled="f" stroked="f" coordsize="21600,21600" o:gfxdata="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a1gfa3AAAAAsBAAAPAAAAAAAAAAEAIAAAACIAAABkcnMvZG93bnJl&#10;di54bWxQSwECFAAUAAAACACHTuJArBTj6MABAAB/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321" w:lineRule="exact"/>
                        <w:ind w:left="2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说明：“以上”均包括本数。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1100" w:right="1480" w:bottom="280" w:left="1300" w:header="720" w:footer="720" w:gutter="0"/>
          <w:cols w:space="720" w:num="1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47D03"/>
    <w:rsid w:val="08F4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2117" w:right="2053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2021-08-16T01:25:00Z</dcterms:created>
  <dc:creator>品位男人</dc:creator>
  <cp:lastModifiedBy>品位男人</cp:lastModifiedBy>
  <dcterms:modified xsi:type="dcterms:W3CDTF">2021-08-16T01:26:14Z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A53A87232F1448E291C6F7FB2DFAD984</vt:lpwstr>
  </property>
</Properties>
</file>