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4"/>
        <w:ind w:left="118"/>
        <w:rPr>
          <w:rFonts w:hint="eastAsia" w:ascii="黑体" w:eastAsia="黑体"/>
        </w:rPr>
      </w:pPr>
      <w:r>
        <w:rPr>
          <w:rFonts w:hint="eastAsia" w:ascii="黑体" w:eastAsia="黑体"/>
        </w:rPr>
        <w:t>附件 3</w:t>
      </w:r>
    </w:p>
    <w:p>
      <w:pPr>
        <w:pStyle w:val="3"/>
        <w:rPr>
          <w:rFonts w:ascii="黑体"/>
          <w:sz w:val="20"/>
        </w:rPr>
      </w:pPr>
    </w:p>
    <w:p>
      <w:pPr>
        <w:pStyle w:val="2"/>
        <w:spacing w:before="57"/>
        <w:rPr>
          <w:rFonts w:hint="eastAsia" w:ascii="Times New Roman" w:hAnsi="Times New Roman" w:eastAsia="方正小标宋简体" w:cs="Times New Roman"/>
          <w:bCs/>
          <w:spacing w:val="0"/>
          <w:w w:val="100"/>
          <w:kern w:val="2"/>
          <w:sz w:val="44"/>
          <w:szCs w:val="2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spacing w:val="0"/>
          <w:w w:val="100"/>
          <w:kern w:val="2"/>
          <w:sz w:val="44"/>
          <w:szCs w:val="24"/>
          <w:lang w:val="en-US" w:eastAsia="zh-CN" w:bidi="ar-SA"/>
        </w:rPr>
        <w:t>县防汛抗旱指挥部及其办公室、成员单位职责</w:t>
      </w:r>
    </w:p>
    <w:p>
      <w:pPr>
        <w:pStyle w:val="3"/>
        <w:spacing w:before="7" w:after="1"/>
        <w:rPr>
          <w:sz w:val="16"/>
        </w:rPr>
      </w:pPr>
    </w:p>
    <w:tbl>
      <w:tblPr>
        <w:tblStyle w:val="4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3225"/>
        <w:gridCol w:w="100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760" w:type="dxa"/>
            <w:gridSpan w:val="2"/>
          </w:tcPr>
          <w:p>
            <w:pPr>
              <w:pStyle w:val="6"/>
              <w:spacing w:before="109"/>
              <w:ind w:left="1239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指挥机构</w:t>
            </w:r>
          </w:p>
        </w:tc>
        <w:tc>
          <w:tcPr>
            <w:tcW w:w="10078" w:type="dxa"/>
          </w:tcPr>
          <w:p>
            <w:pPr>
              <w:pStyle w:val="6"/>
              <w:tabs>
                <w:tab w:val="left" w:pos="969"/>
              </w:tabs>
              <w:spacing w:before="109"/>
              <w:ind w:left="9"/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职</w:t>
            </w:r>
            <w:r>
              <w:rPr>
                <w:rFonts w:hint="eastAsia" w:ascii="黑体" w:eastAsia="黑体"/>
                <w:sz w:val="32"/>
              </w:rPr>
              <w:tab/>
            </w:r>
            <w:r>
              <w:rPr>
                <w:rFonts w:hint="eastAsia" w:ascii="黑体" w:eastAsia="黑体"/>
                <w:sz w:val="32"/>
              </w:rPr>
              <w:t>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35" w:type="dxa"/>
            <w:vMerge w:val="restart"/>
          </w:tcPr>
          <w:p>
            <w:pPr>
              <w:pStyle w:val="6"/>
              <w:spacing w:before="8" w:line="360" w:lineRule="atLeast"/>
              <w:ind w:left="126" w:right="115"/>
              <w:jc w:val="both"/>
              <w:rPr>
                <w:sz w:val="28"/>
              </w:rPr>
            </w:pPr>
            <w:r>
              <w:rPr>
                <w:sz w:val="28"/>
              </w:rPr>
              <w:t>指挥长</w:t>
            </w:r>
          </w:p>
        </w:tc>
        <w:tc>
          <w:tcPr>
            <w:tcW w:w="3225" w:type="dxa"/>
          </w:tcPr>
          <w:p>
            <w:pPr>
              <w:pStyle w:val="6"/>
              <w:spacing w:before="128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分管应急管理工作的副</w:t>
            </w: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长</w:t>
            </w:r>
          </w:p>
        </w:tc>
        <w:tc>
          <w:tcPr>
            <w:tcW w:w="10078" w:type="dxa"/>
            <w:vMerge w:val="restart"/>
          </w:tcPr>
          <w:p>
            <w:pPr>
              <w:pStyle w:val="6"/>
              <w:spacing w:before="198" w:line="256" w:lineRule="auto"/>
              <w:ind w:left="107" w:right="-29"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  <w:lang w:eastAsia="zh-CN"/>
              </w:rPr>
              <w:t>县</w:t>
            </w:r>
            <w:r>
              <w:rPr>
                <w:rFonts w:hint="eastAsia" w:ascii="微软雅黑" w:eastAsia="微软雅黑"/>
                <w:b/>
                <w:sz w:val="24"/>
              </w:rPr>
              <w:t>防指主要职责：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贯彻落实党中央、国务院，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各级党委、政府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关于防汛抗旱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</w:rPr>
              <w:t>工作的决策部署，统筹协调全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</w:rPr>
              <w:t>洪水防御、旱灾抗御工作，制定防汛抗旱总体规划、重要措施，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指导协调水旱灾害风险防控、监测预警、调查评估和善后工作，组织指挥水旱灾害应急处置工作，决定重要河流洪水应急调度方案，落实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委、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政府及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应急救援总指挥部交办的防汛抗旱应急处置的其他重大事项。</w:t>
            </w:r>
          </w:p>
          <w:p>
            <w:pPr>
              <w:pStyle w:val="6"/>
              <w:spacing w:line="366" w:lineRule="exact"/>
              <w:ind w:left="58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  <w:lang w:eastAsia="zh-CN"/>
              </w:rPr>
              <w:t>县</w:t>
            </w:r>
            <w:r>
              <w:rPr>
                <w:rFonts w:hint="eastAsia" w:ascii="微软雅黑" w:eastAsia="微软雅黑"/>
                <w:b/>
                <w:sz w:val="24"/>
              </w:rPr>
              <w:t>防办主要职责：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承担防汛抗旱指挥部日常工作，制定、修订防汛抗旱专项应急预案，开</w:t>
            </w:r>
          </w:p>
          <w:p>
            <w:pPr>
              <w:pStyle w:val="6"/>
              <w:spacing w:before="35" w:line="312" w:lineRule="auto"/>
              <w:ind w:left="107" w:right="-2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展水旱灾害风险防控和监测预警工作，组织开展桌面推演、实兵演练等防汛抗旱专项训练，协调各方面力量参加防汛抗旱救援行动，协助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委、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政府指定的负责同志组织防汛抗旱应急处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置工作，组织开展调查评估和协调推进善后处置工作，报告和发布防汛抗旱信息，指导县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防汛抗旱应对等工作。</w:t>
            </w:r>
          </w:p>
          <w:p>
            <w:pPr>
              <w:pStyle w:val="6"/>
              <w:spacing w:line="365" w:lineRule="exact"/>
              <w:ind w:left="58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防汛会商小组职责：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根据雨水情、工情、洪涝灾害等情况，适时组织会商研判，提出报告</w:t>
            </w:r>
          </w:p>
          <w:p>
            <w:pPr>
              <w:pStyle w:val="6"/>
              <w:spacing w:before="35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建议。</w:t>
            </w:r>
          </w:p>
          <w:p>
            <w:pPr>
              <w:pStyle w:val="6"/>
              <w:spacing w:before="17"/>
              <w:ind w:left="587"/>
              <w:rPr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抗旱会商小组职责：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负责定期召集成员单位会商旱情形势，实现信息共享。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</w:tcPr>
          <w:p>
            <w:pPr>
              <w:pStyle w:val="6"/>
              <w:spacing w:before="101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分管水利工作的副</w:t>
            </w: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长</w:t>
            </w:r>
          </w:p>
        </w:tc>
        <w:tc>
          <w:tcPr>
            <w:tcW w:w="100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35" w:type="dxa"/>
            <w:vMerge w:val="restart"/>
          </w:tcPr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spacing w:before="233" w:line="417" w:lineRule="auto"/>
              <w:ind w:left="126" w:right="115"/>
              <w:jc w:val="both"/>
              <w:rPr>
                <w:sz w:val="28"/>
              </w:rPr>
            </w:pPr>
            <w:r>
              <w:rPr>
                <w:sz w:val="28"/>
              </w:rPr>
              <w:t>副指挥长</w:t>
            </w:r>
          </w:p>
        </w:tc>
        <w:tc>
          <w:tcPr>
            <w:tcW w:w="3225" w:type="dxa"/>
          </w:tcPr>
          <w:p>
            <w:pPr>
              <w:pStyle w:val="6"/>
              <w:spacing w:before="115"/>
              <w:ind w:left="152" w:right="143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政府</w:t>
            </w:r>
            <w:r>
              <w:rPr>
                <w:rFonts w:hint="eastAsia"/>
                <w:sz w:val="24"/>
                <w:lang w:eastAsia="zh-CN"/>
              </w:rPr>
              <w:t>办副主任</w:t>
            </w:r>
          </w:p>
        </w:tc>
        <w:tc>
          <w:tcPr>
            <w:tcW w:w="100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</w:tcPr>
          <w:p>
            <w:pPr>
              <w:pStyle w:val="6"/>
              <w:spacing w:before="73"/>
              <w:ind w:left="152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应急管理局主要负责人</w:t>
            </w:r>
          </w:p>
        </w:tc>
        <w:tc>
          <w:tcPr>
            <w:tcW w:w="100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1" w:hRule="atLeast"/>
        </w:trPr>
        <w:tc>
          <w:tcPr>
            <w:tcW w:w="5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</w:tcPr>
          <w:p>
            <w:pPr>
              <w:pStyle w:val="6"/>
              <w:spacing w:before="79"/>
              <w:ind w:left="152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水利局主要负责人</w:t>
            </w:r>
          </w:p>
        </w:tc>
        <w:tc>
          <w:tcPr>
            <w:tcW w:w="100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5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</w:tcPr>
          <w:p>
            <w:pPr>
              <w:pStyle w:val="6"/>
              <w:spacing w:before="115"/>
              <w:ind w:left="152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农业农村局主要负责人</w:t>
            </w:r>
          </w:p>
        </w:tc>
        <w:tc>
          <w:tcPr>
            <w:tcW w:w="100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5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</w:tcPr>
          <w:p>
            <w:pPr>
              <w:pStyle w:val="6"/>
              <w:spacing w:before="3"/>
              <w:ind w:left="152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自然资源局</w:t>
            </w:r>
          </w:p>
          <w:p>
            <w:pPr>
              <w:pStyle w:val="6"/>
              <w:spacing w:before="5" w:line="289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主要负责人</w:t>
            </w:r>
          </w:p>
        </w:tc>
        <w:tc>
          <w:tcPr>
            <w:tcW w:w="100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5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</w:tcPr>
          <w:p>
            <w:pPr>
              <w:pStyle w:val="6"/>
              <w:spacing w:before="68"/>
              <w:ind w:left="152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气象局主要负责人</w:t>
            </w:r>
          </w:p>
        </w:tc>
        <w:tc>
          <w:tcPr>
            <w:tcW w:w="100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5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Align w:val="top"/>
          </w:tcPr>
          <w:p>
            <w:pPr>
              <w:pStyle w:val="6"/>
              <w:spacing w:before="128"/>
              <w:ind w:left="152" w:leftChars="0" w:right="143" w:rightChars="0"/>
              <w:jc w:val="center"/>
              <w:rPr>
                <w:sz w:val="24"/>
              </w:rPr>
            </w:pPr>
            <w:r>
              <w:rPr>
                <w:sz w:val="24"/>
              </w:rPr>
              <w:t>武警</w:t>
            </w:r>
            <w:r>
              <w:rPr>
                <w:rFonts w:hint="eastAsia"/>
                <w:sz w:val="24"/>
                <w:lang w:eastAsia="zh-CN"/>
              </w:rPr>
              <w:t>黎城中</w:t>
            </w:r>
            <w:r>
              <w:rPr>
                <w:sz w:val="24"/>
              </w:rPr>
              <w:t>队主要负责人</w:t>
            </w:r>
          </w:p>
        </w:tc>
        <w:tc>
          <w:tcPr>
            <w:tcW w:w="100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5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</w:tcPr>
          <w:p>
            <w:pPr>
              <w:pStyle w:val="6"/>
              <w:spacing w:before="128"/>
              <w:ind w:left="152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消防救援</w:t>
            </w:r>
            <w:r>
              <w:rPr>
                <w:rFonts w:hint="eastAsia"/>
                <w:sz w:val="24"/>
                <w:lang w:eastAsia="zh-CN"/>
              </w:rPr>
              <w:t>大</w:t>
            </w:r>
            <w:r>
              <w:rPr>
                <w:sz w:val="24"/>
              </w:rPr>
              <w:t>队主要负责人</w:t>
            </w:r>
          </w:p>
        </w:tc>
        <w:tc>
          <w:tcPr>
            <w:tcW w:w="100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right="1480" w:bottom="280" w:left="1300" w:header="720" w:footer="720" w:gutter="0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630555</wp:posOffset>
                </wp:positionH>
                <wp:positionV relativeFrom="page">
                  <wp:posOffset>6445250</wp:posOffset>
                </wp:positionV>
                <wp:extent cx="154940" cy="203835"/>
                <wp:effectExtent l="0" t="0" r="0" b="0"/>
                <wp:wrapNone/>
                <wp:docPr id="4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156" w:lineRule="auto"/>
                              <w:ind w:left="20" w:right="0" w:firstLine="0"/>
                              <w:jc w:val="left"/>
                              <w:rPr>
                                <w:rFonts w:hint="eastAsia" w:eastAsia="宋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100"/>
                                <w:sz w:val="28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49.65pt;margin-top:507.5pt;height:16.05pt;width:12.2pt;mso-position-horizontal-relative:page;mso-position-vertical-relative:page;z-index:251660288;mso-width-relative:page;mso-height-relative:page;" filled="f" stroked="f" coordsize="21600,21600" o:gfxdata="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9Ra/DXAAAADAEAAA8AAAAAAAAAAQAgAAAAIgAAAGRycy9kb3ducmV2&#10;LnhtbFBLAQIUABQAAAAIAIdO4kAxbB6sxAEAAIADAAAOAAAAAAAAAAEAIAAAACY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before="0" w:line="156" w:lineRule="auto"/>
                        <w:ind w:left="20" w:right="0" w:firstLine="0"/>
                        <w:jc w:val="left"/>
                        <w:rPr>
                          <w:rFonts w:hint="eastAsia" w:eastAsia="宋体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w w:val="100"/>
                          <w:sz w:val="28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638175</wp:posOffset>
                </wp:positionH>
                <wp:positionV relativeFrom="page">
                  <wp:posOffset>5970905</wp:posOffset>
                </wp:positionV>
                <wp:extent cx="154305" cy="203835"/>
                <wp:effectExtent l="0" t="0" r="0" b="0"/>
                <wp:wrapNone/>
                <wp:docPr id="2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156" w:lineRule="auto"/>
                              <w:ind w:left="20" w:right="0" w:firstLine="0"/>
                              <w:jc w:val="left"/>
                              <w:rPr>
                                <w:rFonts w:hint="eastAsia" w:eastAsia="宋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50.25pt;margin-top:470.15pt;height:16.05pt;width:12.15pt;mso-position-horizontal-relative:page;mso-position-vertical-relative:page;z-index:251659264;mso-width-relative:page;mso-height-relative:page;" filled="f" stroked="f" coordsize="21600,21600" o:gfxdata="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Vuwpp1wAAAAsBAAAPAAAAAAAAAAEAIAAAACIAAABkcnMvZG93bnJldi54&#10;bWxQSwECFAAUAAAACACHTuJAprGkm8IBAACAAwAADgAAAAAAAAABACAAAAAm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before="0" w:line="156" w:lineRule="auto"/>
                        <w:ind w:left="20" w:right="0" w:firstLine="0"/>
                        <w:jc w:val="left"/>
                        <w:rPr>
                          <w:rFonts w:hint="eastAsia" w:eastAsia="宋体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lang w:val="en-US" w:eastAsia="zh-CN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rPr>
          <w:sz w:val="20"/>
        </w:rPr>
      </w:pPr>
    </w:p>
    <w:tbl>
      <w:tblPr>
        <w:tblStyle w:val="4"/>
        <w:tblpPr w:leftFromText="180" w:rightFromText="180" w:vertAnchor="text" w:horzAnchor="page" w:tblpX="1428" w:tblpY="16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2410"/>
        <w:gridCol w:w="108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2965" w:type="dxa"/>
            <w:gridSpan w:val="2"/>
          </w:tcPr>
          <w:p>
            <w:pPr>
              <w:pStyle w:val="6"/>
              <w:spacing w:before="109"/>
              <w:ind w:left="842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指挥机构</w:t>
            </w:r>
          </w:p>
        </w:tc>
        <w:tc>
          <w:tcPr>
            <w:tcW w:w="10828" w:type="dxa"/>
          </w:tcPr>
          <w:p>
            <w:pPr>
              <w:pStyle w:val="6"/>
              <w:tabs>
                <w:tab w:val="left" w:pos="970"/>
              </w:tabs>
              <w:spacing w:before="109"/>
              <w:ind w:left="10"/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职</w:t>
            </w:r>
            <w:r>
              <w:rPr>
                <w:rFonts w:hint="eastAsia" w:ascii="黑体" w:eastAsia="黑体"/>
                <w:sz w:val="32"/>
              </w:rPr>
              <w:tab/>
            </w:r>
            <w:r>
              <w:rPr>
                <w:rFonts w:hint="eastAsia" w:ascii="黑体" w:eastAsia="黑体"/>
                <w:sz w:val="32"/>
              </w:rPr>
              <w:t>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5" w:type="dxa"/>
            <w:vMerge w:val="restart"/>
          </w:tcPr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spacing w:before="11"/>
              <w:rPr>
                <w:sz w:val="23"/>
              </w:rPr>
            </w:pPr>
          </w:p>
          <w:p>
            <w:pPr>
              <w:pStyle w:val="6"/>
              <w:spacing w:line="417" w:lineRule="auto"/>
              <w:ind w:left="136" w:right="125"/>
              <w:jc w:val="both"/>
              <w:rPr>
                <w:sz w:val="28"/>
              </w:rPr>
            </w:pPr>
            <w:r>
              <w:rPr>
                <w:sz w:val="28"/>
              </w:rPr>
              <w:t>成员单位</w:t>
            </w:r>
          </w:p>
        </w:tc>
        <w:tc>
          <w:tcPr>
            <w:tcW w:w="2410" w:type="dxa"/>
          </w:tcPr>
          <w:p>
            <w:pPr>
              <w:pStyle w:val="6"/>
              <w:spacing w:before="30"/>
              <w:ind w:left="603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委宣传部</w:t>
            </w:r>
          </w:p>
        </w:tc>
        <w:tc>
          <w:tcPr>
            <w:tcW w:w="10828" w:type="dxa"/>
          </w:tcPr>
          <w:p>
            <w:pPr>
              <w:pStyle w:val="6"/>
              <w:spacing w:before="30"/>
              <w:ind w:left="58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按照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防指统一部署，组织协调新闻媒体做好防汛抗旱抢险救灾新闻报道工作，积极引导舆论。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6"/>
              <w:spacing w:before="160"/>
              <w:ind w:right="114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县发科局</w:t>
            </w:r>
          </w:p>
        </w:tc>
        <w:tc>
          <w:tcPr>
            <w:tcW w:w="10828" w:type="dxa"/>
          </w:tcPr>
          <w:p>
            <w:pPr>
              <w:pStyle w:val="6"/>
              <w:spacing w:before="3"/>
              <w:ind w:left="58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指导防汛抗旱规划和建设工作；积极争取省发改委水旱灾害应急资金；协调各部门开展应急物资</w:t>
            </w:r>
          </w:p>
          <w:p>
            <w:pPr>
              <w:pStyle w:val="6"/>
              <w:spacing w:before="5" w:line="288" w:lineRule="exact"/>
              <w:ind w:left="106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储备调运相关工作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负责防汛抗旱用电指标的调配供应工作。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6"/>
              <w:spacing w:before="159"/>
              <w:ind w:left="723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教育局</w:t>
            </w:r>
          </w:p>
        </w:tc>
        <w:tc>
          <w:tcPr>
            <w:tcW w:w="10828" w:type="dxa"/>
          </w:tcPr>
          <w:p>
            <w:pPr>
              <w:pStyle w:val="6"/>
              <w:spacing w:before="3"/>
              <w:ind w:left="586" w:right="-2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负责监督、检查本系统学校防洪安全和干旱期间饮水安全；及时对学校发出汛情和旱情预警信息；</w:t>
            </w:r>
          </w:p>
          <w:p>
            <w:pPr>
              <w:pStyle w:val="6"/>
              <w:spacing w:before="5" w:line="289" w:lineRule="exact"/>
              <w:ind w:left="10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对在校师生进行防洪和抗旱节水安全宣传教育；组织开展危险校舍排查和修缮工作。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6"/>
              <w:spacing w:before="159"/>
              <w:ind w:left="243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工业和信息化局</w:t>
            </w:r>
          </w:p>
        </w:tc>
        <w:tc>
          <w:tcPr>
            <w:tcW w:w="10828" w:type="dxa"/>
          </w:tcPr>
          <w:p>
            <w:pPr>
              <w:pStyle w:val="6"/>
              <w:spacing w:before="3"/>
              <w:ind w:left="58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在防汛抗旱抢险救灾紧急状态下，负责重要物资生产组织工作；督促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企业做好防汛抗旱应急</w:t>
            </w:r>
          </w:p>
          <w:p>
            <w:pPr>
              <w:pStyle w:val="6"/>
              <w:spacing w:before="4" w:line="289" w:lineRule="exact"/>
              <w:ind w:left="10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6" w:hRule="atLeast"/>
        </w:trPr>
        <w:tc>
          <w:tcPr>
            <w:tcW w:w="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6"/>
              <w:spacing w:before="7"/>
              <w:rPr>
                <w:sz w:val="24"/>
              </w:rPr>
            </w:pPr>
          </w:p>
          <w:p>
            <w:pPr>
              <w:pStyle w:val="6"/>
              <w:ind w:left="723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公安局</w:t>
            </w:r>
          </w:p>
        </w:tc>
        <w:tc>
          <w:tcPr>
            <w:tcW w:w="10828" w:type="dxa"/>
          </w:tcPr>
          <w:p>
            <w:pPr>
              <w:pStyle w:val="6"/>
              <w:spacing w:before="2" w:line="242" w:lineRule="auto"/>
              <w:ind w:left="106" w:right="96"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维护社会治安秩序；依法打击造谣惑众和盗窃、哄抢防汛抗旱物资以及破坏防汛抗旱设施违法犯罪活动；协助有关部门妥善处置因水旱灾害引发的群体性治安事件；协助地方政府从危险区安全撤离</w:t>
            </w:r>
          </w:p>
          <w:p>
            <w:pPr>
              <w:pStyle w:val="6"/>
              <w:spacing w:before="3" w:line="289" w:lineRule="exact"/>
              <w:ind w:left="10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或转移群众。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6"/>
              <w:spacing w:before="28"/>
              <w:ind w:left="723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财政局</w:t>
            </w:r>
          </w:p>
        </w:tc>
        <w:tc>
          <w:tcPr>
            <w:tcW w:w="10828" w:type="dxa"/>
          </w:tcPr>
          <w:p>
            <w:pPr>
              <w:pStyle w:val="6"/>
              <w:spacing w:before="28"/>
              <w:ind w:left="58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按照分级负担原则，积极筹措防汛抗旱应急资金，及时拨付并监督使用。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6"/>
              <w:spacing w:before="8"/>
              <w:rPr>
                <w:sz w:val="24"/>
              </w:rPr>
            </w:pPr>
          </w:p>
          <w:p>
            <w:pPr>
              <w:pStyle w:val="6"/>
              <w:ind w:right="114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自然资源局</w:t>
            </w:r>
          </w:p>
        </w:tc>
        <w:tc>
          <w:tcPr>
            <w:tcW w:w="10828" w:type="dxa"/>
          </w:tcPr>
          <w:p>
            <w:pPr>
              <w:pStyle w:val="6"/>
              <w:spacing w:before="4"/>
              <w:ind w:left="106"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组织指导协调和监督全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地质灾害调查评价及隐患排查工作；指导开展地质灾害治理；开展群测</w:t>
            </w:r>
          </w:p>
          <w:p>
            <w:pPr>
              <w:pStyle w:val="6"/>
              <w:spacing w:before="2" w:line="310" w:lineRule="atLeast"/>
              <w:ind w:left="106" w:right="9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群防、专业监测和预报预警等工作；及时向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防指提供地质灾害气象风险预警信息，为全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地质灾害应急救援工作提供技术支撑。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6"/>
              <w:spacing w:before="92"/>
              <w:ind w:right="114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住房和城乡建设</w:t>
            </w:r>
          </w:p>
          <w:p>
            <w:pPr>
              <w:pStyle w:val="6"/>
              <w:spacing w:before="92"/>
              <w:ind w:right="114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管理</w:t>
            </w:r>
            <w:r>
              <w:rPr>
                <w:sz w:val="24"/>
              </w:rPr>
              <w:t>局</w:t>
            </w:r>
          </w:p>
        </w:tc>
        <w:tc>
          <w:tcPr>
            <w:tcW w:w="10828" w:type="dxa"/>
          </w:tcPr>
          <w:p>
            <w:pPr>
              <w:pStyle w:val="6"/>
              <w:spacing w:before="92"/>
              <w:ind w:left="58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组织全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防洪、抗旱工作；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指导各镇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做好城镇排水防涝和干旱缺水应对工作。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163"/>
              <w:ind w:left="587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交通运输局</w:t>
            </w:r>
          </w:p>
        </w:tc>
        <w:tc>
          <w:tcPr>
            <w:tcW w:w="10828" w:type="dxa"/>
          </w:tcPr>
          <w:p>
            <w:pPr>
              <w:pStyle w:val="6"/>
              <w:spacing w:before="3" w:line="242" w:lineRule="auto"/>
              <w:ind w:left="106" w:right="-29"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指导协调县（区）交通运输部门做好公路交通设施的防洪安全工作；督促指导公路管理部门设置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公路易积水地带的防护设施和警示标志；指导涉水公路、桥涵等在建工程管理部门安全度汛监督工作； 协调公路建设部门清除施工时形成的河道障碍；协调县（区）交通运输部门组织运力征用；协调防汛</w:t>
            </w:r>
          </w:p>
          <w:p>
            <w:pPr>
              <w:pStyle w:val="6"/>
              <w:spacing w:before="4" w:line="289" w:lineRule="exact"/>
              <w:ind w:left="10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抗旱和防疫人员以及抢险物资、设备运输车辆公路“绿色通道”专用收费道口的优先通行工作。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7" w:hRule="atLeast"/>
        </w:trPr>
        <w:tc>
          <w:tcPr>
            <w:tcW w:w="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11"/>
              <w:rPr>
                <w:sz w:val="24"/>
              </w:rPr>
            </w:pPr>
          </w:p>
          <w:p>
            <w:pPr>
              <w:pStyle w:val="6"/>
              <w:ind w:left="723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水利局</w:t>
            </w:r>
          </w:p>
        </w:tc>
        <w:tc>
          <w:tcPr>
            <w:tcW w:w="10828" w:type="dxa"/>
          </w:tcPr>
          <w:p>
            <w:pPr>
              <w:pStyle w:val="6"/>
              <w:spacing w:before="2" w:line="242" w:lineRule="auto"/>
              <w:ind w:left="106" w:right="96" w:firstLine="48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负责水旱灾害防御和日常防汛抗旱工作；组织指导水旱防治体系建设；组织编制洪水干旱灾害防治规划和防护标准并指导实施；负责组织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内雨水情、土壤墒情监测预警和洪水预报、水工程调度、日常检查、宣传教育、水旱灾害防治工程建设等；为防御洪水应急抢险提供技术支撑；负责发布水情旱情信息；在汛期，加强对水工程管理单位的指导，工程管理单位必须按照规定对水工程进行巡查；</w:t>
            </w:r>
          </w:p>
          <w:p>
            <w:pPr>
              <w:pStyle w:val="6"/>
              <w:spacing w:before="6" w:line="288" w:lineRule="exact"/>
              <w:ind w:left="106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发现险情，立即采取抢护措施，并及时向防汛抗旱指挥部和上级主管部门报告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负责及时向所在地防指提供雨情、水情、墒情有关预报。</w:t>
            </w:r>
          </w:p>
        </w:tc>
      </w:tr>
    </w:tbl>
    <w:p>
      <w:pPr>
        <w:pStyle w:val="3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641985</wp:posOffset>
                </wp:positionH>
                <wp:positionV relativeFrom="page">
                  <wp:posOffset>1339215</wp:posOffset>
                </wp:positionV>
                <wp:extent cx="125730" cy="203835"/>
                <wp:effectExtent l="0" t="0" r="0" b="0"/>
                <wp:wrapNone/>
                <wp:docPr id="9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156" w:lineRule="auto"/>
                              <w:ind w:left="20" w:right="0" w:firstLine="0"/>
                              <w:jc w:val="left"/>
                              <w:rPr>
                                <w:rFonts w:hint="eastAsia" w:eastAsia="宋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50.55pt;margin-top:105.45pt;height:16.05pt;width:9.9pt;mso-position-horizontal-relative:page;mso-position-vertical-relative:page;z-index:251661312;mso-width-relative:page;mso-height-relative:page;" filled="f" stroked="f" coordsize="21600,21600" o:gfxdata="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M7/H81gAAAAsBAAAPAAAAAAAAAAEAIAAAACIAAABkcnMvZG93bnJldi54&#10;bWxQSwECFAAUAAAACACHTuJAfbDu8cMBAACAAwAADgAAAAAAAAABACAAAAAl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before="0" w:line="156" w:lineRule="auto"/>
                        <w:ind w:left="20" w:right="0" w:firstLine="0"/>
                        <w:jc w:val="left"/>
                        <w:rPr>
                          <w:rFonts w:hint="eastAsia" w:eastAsia="宋体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607695</wp:posOffset>
                </wp:positionH>
                <wp:positionV relativeFrom="page">
                  <wp:posOffset>1121410</wp:posOffset>
                </wp:positionV>
                <wp:extent cx="203835" cy="203200"/>
                <wp:effectExtent l="0" t="0" r="0" b="0"/>
                <wp:wrapNone/>
                <wp:docPr id="10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21" w:lineRule="exact"/>
                              <w:ind w:righ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47.85pt;margin-top:88.3pt;height:16pt;width:16.05pt;mso-position-horizontal-relative:page;mso-position-vertical-relative:page;z-index:251662336;mso-width-relative:page;mso-height-relative:page;" filled="f" stroked="f" coordsize="21600,21600" o:gfxdata="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csvputsAAAAKAQAADwAAAAAAAAABACAAAAAiAAAAZHJzL2Rvd25yZXYu&#10;eG1sUEsBAhQAFAAAAAgAh07iQOwUf4m/AQAAfwMAAA4AAAAAAAAAAQAgAAAAKg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spacing w:before="0" w:line="321" w:lineRule="exact"/>
                        <w:ind w:right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658495</wp:posOffset>
                </wp:positionH>
                <wp:positionV relativeFrom="page">
                  <wp:posOffset>869315</wp:posOffset>
                </wp:positionV>
                <wp:extent cx="109220" cy="203835"/>
                <wp:effectExtent l="0" t="0" r="0" b="0"/>
                <wp:wrapNone/>
                <wp:docPr id="8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156" w:lineRule="auto"/>
                              <w:ind w:left="20" w:right="0" w:firstLine="0"/>
                              <w:jc w:val="left"/>
                              <w:rPr>
                                <w:rFonts w:hint="eastAsia" w:eastAsia="宋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51.85pt;margin-top:68.45pt;height:16.05pt;width:8.6pt;mso-position-horizontal-relative:page;mso-position-vertical-relative:page;z-index:251661312;mso-width-relative:page;mso-height-relative:page;" filled="f" stroked="f" coordsize="21600,21600" o:gfxdata="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6DRBT1QAAAAsBAAAPAAAAAAAAAAEAIAAAACIAAABkcnMvZG93bnJldi54bWxQ&#10;SwECFAAUAAAACACHTuJAavmh6MEBAACAAwAADgAAAAAAAAABACAAAAAk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before="0" w:line="156" w:lineRule="auto"/>
                        <w:ind w:left="20" w:right="0" w:firstLine="0"/>
                        <w:jc w:val="left"/>
                        <w:rPr>
                          <w:rFonts w:hint="eastAsia" w:eastAsia="宋体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lang w:val="en-US" w:eastAsia="zh-CN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11"/>
        <w:rPr>
          <w:sz w:val="25"/>
        </w:rPr>
      </w:pPr>
    </w:p>
    <w:p>
      <w:pPr>
        <w:spacing w:after="0" w:line="288" w:lineRule="exact"/>
        <w:rPr>
          <w:sz w:val="24"/>
        </w:rPr>
        <w:sectPr>
          <w:pgSz w:w="16840" w:h="11910" w:orient="landscape"/>
          <w:pgMar w:top="1100" w:right="1480" w:bottom="280" w:left="1300" w:header="720" w:footer="720" w:gutter="0"/>
          <w:cols w:space="720" w:num="1"/>
        </w:sectPr>
      </w:pPr>
    </w:p>
    <w:p>
      <w:pPr>
        <w:pStyle w:val="3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ge">
                  <wp:posOffset>6159500</wp:posOffset>
                </wp:positionV>
                <wp:extent cx="203835" cy="203200"/>
                <wp:effectExtent l="0" t="0" r="0" b="0"/>
                <wp:wrapNone/>
                <wp:docPr id="13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21" w:lineRule="exact"/>
                              <w:ind w:left="2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51.05pt;margin-top:485pt;height:16pt;width:16.05pt;mso-position-horizontal-relative:page;mso-position-vertical-relative:page;z-index:251663360;mso-width-relative:page;mso-height-relative:page;" filled="f" stroked="f" coordsize="21600,21600" o:gfxdata="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PYGKUNoAAAAMAQAADwAAAAAAAAABACAAAAAiAAAAZHJzL2Rvd25yZXYu&#10;eG1sUEsBAhQAFAAAAAgAh07iQAuQX8PAAQAAfwMAAA4AAAAAAAAAAQAgAAAAKQ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spacing w:before="0" w:line="321" w:lineRule="exact"/>
                        <w:ind w:left="2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6"/>
        <w:rPr>
          <w:sz w:val="21"/>
        </w:rPr>
      </w:pPr>
    </w:p>
    <w:tbl>
      <w:tblPr>
        <w:tblStyle w:val="4"/>
        <w:tblW w:w="0" w:type="auto"/>
        <w:tblInd w:w="1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2410"/>
        <w:gridCol w:w="108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2965" w:type="dxa"/>
            <w:gridSpan w:val="2"/>
          </w:tcPr>
          <w:p>
            <w:pPr>
              <w:pStyle w:val="6"/>
              <w:spacing w:before="109"/>
              <w:ind w:left="842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指挥机构</w:t>
            </w:r>
          </w:p>
        </w:tc>
        <w:tc>
          <w:tcPr>
            <w:tcW w:w="10828" w:type="dxa"/>
          </w:tcPr>
          <w:p>
            <w:pPr>
              <w:pStyle w:val="6"/>
              <w:tabs>
                <w:tab w:val="left" w:pos="970"/>
              </w:tabs>
              <w:spacing w:before="109"/>
              <w:ind w:left="10"/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职</w:t>
            </w:r>
            <w:r>
              <w:rPr>
                <w:rFonts w:hint="eastAsia" w:ascii="黑体" w:eastAsia="黑体"/>
                <w:sz w:val="32"/>
              </w:rPr>
              <w:tab/>
            </w:r>
            <w:r>
              <w:rPr>
                <w:rFonts w:hint="eastAsia" w:ascii="黑体" w:eastAsia="黑体"/>
                <w:sz w:val="32"/>
              </w:rPr>
              <w:t>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55" w:type="dxa"/>
            <w:vMerge w:val="restart"/>
          </w:tcPr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spacing w:before="6"/>
              <w:rPr>
                <w:sz w:val="22"/>
              </w:rPr>
            </w:pPr>
          </w:p>
          <w:p>
            <w:pPr>
              <w:pStyle w:val="6"/>
              <w:spacing w:line="417" w:lineRule="auto"/>
              <w:ind w:left="136" w:right="125"/>
              <w:jc w:val="both"/>
              <w:rPr>
                <w:sz w:val="28"/>
              </w:rPr>
            </w:pPr>
            <w:r>
              <w:rPr>
                <w:sz w:val="28"/>
              </w:rPr>
              <w:t>成员单位</w:t>
            </w:r>
          </w:p>
        </w:tc>
        <w:tc>
          <w:tcPr>
            <w:tcW w:w="2410" w:type="dxa"/>
          </w:tcPr>
          <w:p>
            <w:pPr>
              <w:pStyle w:val="6"/>
              <w:spacing w:before="177"/>
              <w:ind w:left="103" w:right="9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农业农村局</w:t>
            </w:r>
          </w:p>
        </w:tc>
        <w:tc>
          <w:tcPr>
            <w:tcW w:w="10828" w:type="dxa"/>
          </w:tcPr>
          <w:p>
            <w:pPr>
              <w:pStyle w:val="6"/>
              <w:spacing w:before="18" w:line="310" w:lineRule="atLeast"/>
              <w:ind w:left="106" w:right="96"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及时收集、整理和反映农业洪涝、干旱灾情信息；指导落实灾后农作物的补救措施；负责全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救灾备荒种子、饲草、动物防疫物资储备的调剂和管理；指导灾区动物疫病防治工作。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6"/>
              <w:spacing w:before="98"/>
              <w:ind w:left="103" w:right="96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商务</w:t>
            </w:r>
            <w:r>
              <w:rPr>
                <w:rFonts w:hint="eastAsia"/>
                <w:sz w:val="24"/>
                <w:lang w:eastAsia="zh-CN"/>
              </w:rPr>
              <w:t>中心</w:t>
            </w:r>
          </w:p>
        </w:tc>
        <w:tc>
          <w:tcPr>
            <w:tcW w:w="10828" w:type="dxa"/>
          </w:tcPr>
          <w:p>
            <w:pPr>
              <w:pStyle w:val="6"/>
              <w:spacing w:before="98"/>
              <w:ind w:left="58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负责加强对灾区重要商品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场运营和供求形势的监控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、服务和指导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174"/>
              <w:ind w:left="103" w:right="9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文化和旅游局</w:t>
            </w:r>
          </w:p>
        </w:tc>
        <w:tc>
          <w:tcPr>
            <w:tcW w:w="10828" w:type="dxa"/>
          </w:tcPr>
          <w:p>
            <w:pPr>
              <w:pStyle w:val="6"/>
              <w:spacing w:before="11" w:line="310" w:lineRule="atLeast"/>
              <w:ind w:left="106" w:right="96" w:firstLine="48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指导旅游景区主管部门做好全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旅游景区防汛抗旱应对工作；根据汛情和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防指要求，配合旅游景区主管部门做好景区开放与关闭工作；发生险情时，组织、指导、监督旅游景区人员撤离和疏散； 参与旅游景区防汛抗旱抢险救灾工作；发生旱情时，指导景区主管部门做好文化旅游景区的应急供水工作。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6"/>
              <w:spacing w:before="10"/>
              <w:rPr>
                <w:sz w:val="20"/>
              </w:rPr>
            </w:pPr>
          </w:p>
          <w:p>
            <w:pPr>
              <w:pStyle w:val="6"/>
              <w:ind w:left="103" w:right="96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卫</w:t>
            </w:r>
            <w:r>
              <w:rPr>
                <w:rFonts w:hint="eastAsia"/>
                <w:sz w:val="24"/>
                <w:lang w:eastAsia="zh-CN"/>
              </w:rPr>
              <w:t>体局</w:t>
            </w:r>
          </w:p>
        </w:tc>
        <w:tc>
          <w:tcPr>
            <w:tcW w:w="10828" w:type="dxa"/>
          </w:tcPr>
          <w:p>
            <w:pPr>
              <w:pStyle w:val="6"/>
              <w:spacing w:before="111" w:line="242" w:lineRule="auto"/>
              <w:ind w:left="106" w:right="96"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负责统一调配医疗卫生资源；组织开展水旱灾害地区伤病员医疗救治；承担卫生防疫和突发公共卫生事件的应对工作。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6"/>
              <w:spacing w:before="3"/>
              <w:rPr>
                <w:sz w:val="30"/>
              </w:rPr>
            </w:pPr>
          </w:p>
          <w:p>
            <w:pPr>
              <w:pStyle w:val="6"/>
              <w:ind w:left="103" w:right="9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应急管理局</w:t>
            </w:r>
          </w:p>
        </w:tc>
        <w:tc>
          <w:tcPr>
            <w:tcW w:w="10828" w:type="dxa"/>
          </w:tcPr>
          <w:p>
            <w:pPr>
              <w:pStyle w:val="6"/>
              <w:spacing w:before="75" w:line="242" w:lineRule="auto"/>
              <w:ind w:left="106" w:right="96" w:firstLine="48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负责综合指导协调各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镇（中心）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和相关部门的水旱灾害防治工作；组织水旱灾害的抢险救灾工作； 指导有关县（区）提前落实抢险队伍、预置抢险物资；视情开展巡查值守；做好抢险救灾和人员转移准备工作；负责灾害调查统计评估和灾害救助；依法统一发布灾情信息。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6"/>
              <w:spacing w:before="12"/>
              <w:rPr>
                <w:sz w:val="28"/>
              </w:rPr>
            </w:pPr>
          </w:p>
          <w:p>
            <w:pPr>
              <w:pStyle w:val="6"/>
              <w:ind w:left="103" w:right="9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气象局</w:t>
            </w:r>
          </w:p>
        </w:tc>
        <w:tc>
          <w:tcPr>
            <w:tcW w:w="10828" w:type="dxa"/>
          </w:tcPr>
          <w:p>
            <w:pPr>
              <w:pStyle w:val="6"/>
              <w:spacing w:before="58" w:line="242" w:lineRule="auto"/>
              <w:ind w:left="106" w:right="96" w:firstLine="48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负责气候监测和预测预报工作；从气象角度对汛情、旱情形势作出分析和预测；在汛期和受旱期及时对重要天气形势和灾害性天气作出滚动预报，并向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防指及有关成员单位提供气象信息；组织开展人工增雨作业。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6"/>
              <w:spacing w:before="157"/>
              <w:ind w:left="103" w:right="9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中小企业服务中心</w:t>
            </w:r>
          </w:p>
        </w:tc>
        <w:tc>
          <w:tcPr>
            <w:tcW w:w="10828" w:type="dxa"/>
          </w:tcPr>
          <w:p>
            <w:pPr>
              <w:pStyle w:val="6"/>
              <w:spacing w:before="157"/>
              <w:ind w:left="58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协助有关部门做好中小企业的防汛抗旱抢险救灾工作。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6"/>
              <w:spacing w:before="158"/>
              <w:ind w:left="103" w:right="9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r>
              <w:rPr>
                <w:sz w:val="24"/>
              </w:rPr>
              <w:t>供销合作社</w:t>
            </w:r>
          </w:p>
        </w:tc>
        <w:tc>
          <w:tcPr>
            <w:tcW w:w="10828" w:type="dxa"/>
          </w:tcPr>
          <w:p>
            <w:pPr>
              <w:pStyle w:val="6"/>
              <w:spacing w:before="158"/>
              <w:ind w:left="58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负责提供水旱灾害应急物资的供应和储备。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right="1480" w:bottom="280" w:left="1300" w:header="720" w:footer="720" w:gutter="0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645160</wp:posOffset>
                </wp:positionH>
                <wp:positionV relativeFrom="page">
                  <wp:posOffset>6393180</wp:posOffset>
                </wp:positionV>
                <wp:extent cx="154305" cy="203835"/>
                <wp:effectExtent l="0" t="0" r="0" b="0"/>
                <wp:wrapNone/>
                <wp:docPr id="12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156" w:lineRule="auto"/>
                              <w:ind w:left="20" w:right="0" w:firstLine="0"/>
                              <w:jc w:val="left"/>
                              <w:rPr>
                                <w:rFonts w:hint="eastAsia" w:eastAsia="宋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100"/>
                                <w:sz w:val="28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50.8pt;margin-top:503.4pt;height:16.05pt;width:12.15pt;mso-position-horizontal-relative:page;mso-position-vertical-relative:page;z-index:251663360;mso-width-relative:page;mso-height-relative:page;" filled="f" stroked="f" coordsize="21600,21600" o:gfxdata="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IT393XAAAADQEAAA8AAAAAAAAAAQAgAAAAIgAAAGRycy9kb3ducmV2&#10;LnhtbFBLAQIUABQAAAAIAIdO4kDnYrPYxAEAAIEDAAAOAAAAAAAAAAEAIAAAACY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before="0" w:line="156" w:lineRule="auto"/>
                        <w:ind w:left="20" w:right="0" w:firstLine="0"/>
                        <w:jc w:val="left"/>
                        <w:rPr>
                          <w:rFonts w:hint="eastAsia" w:eastAsia="宋体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w w:val="100"/>
                          <w:sz w:val="28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5932805</wp:posOffset>
                </wp:positionV>
                <wp:extent cx="158750" cy="203835"/>
                <wp:effectExtent l="0" t="0" r="0" b="0"/>
                <wp:wrapNone/>
                <wp:docPr id="11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156" w:lineRule="auto"/>
                              <w:ind w:right="0"/>
                              <w:jc w:val="left"/>
                              <w:rPr>
                                <w:rFonts w:hint="eastAsia" w:eastAsia="宋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51.1pt;margin-top:467.15pt;height:16.05pt;width:12.5pt;mso-position-horizontal-relative:page;mso-position-vertical-relative:page;z-index:251662336;mso-width-relative:page;mso-height-relative:page;" filled="f" stroked="f" coordsize="21600,21600" o:gfxdata="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i7FwDNcAAAALAQAADwAAAAAAAAABACAAAAAiAAAAZHJzL2Rvd25yZXYu&#10;eG1sUEsBAhQAFAAAAAgAh07iQJ03O/XDAQAAgQMAAA4AAAAAAAAAAQAgAAAAJg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before="0" w:line="156" w:lineRule="auto"/>
                        <w:ind w:right="0"/>
                        <w:jc w:val="left"/>
                        <w:rPr>
                          <w:rFonts w:hint="eastAsia" w:eastAsia="宋体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lang w:val="en-US" w:eastAsia="zh-CN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645795</wp:posOffset>
                </wp:positionH>
                <wp:positionV relativeFrom="page">
                  <wp:posOffset>1213485</wp:posOffset>
                </wp:positionV>
                <wp:extent cx="203835" cy="203200"/>
                <wp:effectExtent l="0" t="0" r="0" b="0"/>
                <wp:wrapNone/>
                <wp:docPr id="1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21" w:lineRule="exact"/>
                              <w:ind w:left="2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50.85pt;margin-top:95.55pt;height:16pt;width:16.05pt;mso-position-horizontal-relative:page;mso-position-vertical-relative:page;z-index:251665408;mso-width-relative:page;mso-height-relative:page;" filled="f" stroked="f" coordsize="21600,21600" o:gfxdata="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LMl8ONoAAAALAQAADwAAAAAAAAABACAAAAAiAAAAZHJzL2Rvd25yZXYu&#10;eG1sUEsBAhQAFAAAAAgAh07iQCIdPh3AAQAAfwMAAA4AAAAAAAAAAQAgAAAAKQ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spacing w:before="0" w:line="321" w:lineRule="exact"/>
                        <w:ind w:left="2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6"/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601345</wp:posOffset>
                </wp:positionH>
                <wp:positionV relativeFrom="page">
                  <wp:posOffset>952500</wp:posOffset>
                </wp:positionV>
                <wp:extent cx="203835" cy="203835"/>
                <wp:effectExtent l="0" t="0" r="0" b="0"/>
                <wp:wrapNone/>
                <wp:docPr id="14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156" w:lineRule="auto"/>
                              <w:ind w:left="20" w:right="0" w:firstLine="0"/>
                              <w:jc w:val="left"/>
                              <w:rPr>
                                <w:rFonts w:hint="eastAsia" w:eastAsia="宋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100"/>
                                <w:sz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47.35pt;margin-top:75pt;height:16.05pt;width:16.05pt;mso-position-horizontal-relative:page;mso-position-vertical-relative:page;z-index:251664384;mso-width-relative:page;mso-height-relative:page;" filled="f" stroked="f" coordsize="21600,21600" o:gfxdata="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1XRCYNcAAAAKAQAADwAAAAAAAAABACAAAAAiAAAAZHJzL2Rvd25yZXYueG1s&#10;UEsBAhQAFAAAAAgAh07iQNkdcrjAAQAAgQMAAA4AAAAAAAAAAQAgAAAAJg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before="0" w:line="156" w:lineRule="auto"/>
                        <w:ind w:left="20" w:right="0" w:firstLine="0"/>
                        <w:jc w:val="left"/>
                        <w:rPr>
                          <w:rFonts w:hint="eastAsia" w:eastAsia="宋体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w w:val="100"/>
                          <w:sz w:val="28"/>
                          <w:lang w:val="en-US" w:eastAsia="zh-CN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W w:w="0" w:type="auto"/>
        <w:tblInd w:w="1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2410"/>
        <w:gridCol w:w="108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8" w:hRule="atLeast"/>
        </w:trPr>
        <w:tc>
          <w:tcPr>
            <w:tcW w:w="2965" w:type="dxa"/>
            <w:gridSpan w:val="2"/>
          </w:tcPr>
          <w:p>
            <w:pPr>
              <w:pStyle w:val="6"/>
              <w:spacing w:before="109"/>
              <w:ind w:left="842"/>
              <w:rPr>
                <w:rFonts w:hint="eastAsia" w:ascii="黑体" w:eastAsia="黑体"/>
                <w:sz w:val="3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-336550</wp:posOffset>
                      </wp:positionH>
                      <wp:positionV relativeFrom="page">
                        <wp:posOffset>407035</wp:posOffset>
                      </wp:positionV>
                      <wp:extent cx="203835" cy="210820"/>
                      <wp:effectExtent l="0" t="0" r="0" b="0"/>
                      <wp:wrapNone/>
                      <wp:docPr id="15" name="文本框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" cy="21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0" w:line="156" w:lineRule="auto"/>
                                    <w:ind w:right="0"/>
                                    <w:jc w:val="left"/>
                                    <w:rPr>
                                      <w:rFonts w:hint="eastAsia" w:eastAsia="宋体"/>
                                      <w:sz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lang w:val="en-US" w:eastAsia="zh-CN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8" o:spid="_x0000_s1026" o:spt="202" type="#_x0000_t202" style="position:absolute;left:0pt;margin-left:-26.5pt;margin-top:32.05pt;height:16.6pt;width:16.05pt;mso-position-horizontal-relative:page;mso-position-vertical-relative:page;z-index:251664384;mso-width-relative:page;mso-height-relative:page;" filled="f" stroked="f" coordsize="21600,21600" o:gfxdata="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zdYZ7XAAAACQEAAA8AAAAAAAAAAQAgAAAAIgAAAGRycy9kb3ducmV2&#10;LnhtbFBLAQIUABQAAAAIAIdO4kBPxexyxAEAAIEDAAAOAAAAAAAAAAEAIAAAACYBAABkcnMvZTJv&#10;RG9jLnhtbFBLBQYAAAAABgAGAFkBAABcBQ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spacing w:before="0" w:line="156" w:lineRule="auto"/>
                              <w:ind w:right="0"/>
                              <w:jc w:val="left"/>
                              <w:rPr>
                                <w:rFonts w:hint="eastAsia" w:eastAsia="宋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eastAsia="黑体"/>
                <w:sz w:val="32"/>
              </w:rPr>
              <w:t>指挥机构</w:t>
            </w:r>
          </w:p>
        </w:tc>
        <w:tc>
          <w:tcPr>
            <w:tcW w:w="10828" w:type="dxa"/>
          </w:tcPr>
          <w:p>
            <w:pPr>
              <w:pStyle w:val="6"/>
              <w:tabs>
                <w:tab w:val="left" w:pos="1450"/>
              </w:tabs>
              <w:spacing w:before="159"/>
              <w:ind w:left="10"/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职</w:t>
            </w:r>
            <w:r>
              <w:rPr>
                <w:rFonts w:hint="eastAsia" w:ascii="黑体" w:eastAsia="黑体"/>
                <w:sz w:val="32"/>
              </w:rPr>
              <w:tab/>
            </w:r>
            <w:r>
              <w:rPr>
                <w:rFonts w:hint="eastAsia" w:ascii="黑体" w:eastAsia="黑体"/>
                <w:sz w:val="32"/>
              </w:rPr>
              <w:t>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55" w:type="dxa"/>
            <w:vMerge w:val="restart"/>
          </w:tcPr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spacing w:before="1" w:line="417" w:lineRule="auto"/>
              <w:ind w:right="125"/>
              <w:jc w:val="center"/>
              <w:rPr>
                <w:sz w:val="28"/>
              </w:rPr>
            </w:pPr>
            <w:r>
              <w:rPr>
                <w:sz w:val="28"/>
              </w:rPr>
              <w:t>成员单位</w:t>
            </w:r>
          </w:p>
        </w:tc>
        <w:tc>
          <w:tcPr>
            <w:tcW w:w="2410" w:type="dxa"/>
          </w:tcPr>
          <w:p>
            <w:pPr>
              <w:pStyle w:val="6"/>
              <w:spacing w:before="4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6"/>
              <w:ind w:right="354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县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融媒体中心</w:t>
            </w:r>
          </w:p>
        </w:tc>
        <w:tc>
          <w:tcPr>
            <w:tcW w:w="10828" w:type="dxa"/>
          </w:tcPr>
          <w:p>
            <w:pPr>
              <w:pStyle w:val="6"/>
              <w:spacing w:before="128" w:line="280" w:lineRule="auto"/>
              <w:ind w:left="106" w:right="96"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负责组织做好防汛抗旱抢险救灾宣传报道工作；及时准确报道经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防指审定的汛情、旱情、灾情和各地防汛抗旱动态。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6"/>
              <w:spacing w:before="4"/>
              <w:rPr>
                <w:rFonts w:hint="eastAsia" w:ascii="宋体" w:hAnsi="宋体" w:eastAsia="宋体" w:cs="宋体"/>
                <w:sz w:val="19"/>
              </w:rPr>
            </w:pPr>
          </w:p>
          <w:p>
            <w:pPr>
              <w:pStyle w:val="6"/>
              <w:ind w:right="37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武警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黎城中</w:t>
            </w:r>
            <w:r>
              <w:rPr>
                <w:rFonts w:hint="eastAsia" w:ascii="宋体" w:hAnsi="宋体" w:eastAsia="宋体" w:cs="宋体"/>
                <w:sz w:val="24"/>
              </w:rPr>
              <w:t>队</w:t>
            </w:r>
          </w:p>
        </w:tc>
        <w:tc>
          <w:tcPr>
            <w:tcW w:w="10828" w:type="dxa"/>
          </w:tcPr>
          <w:p>
            <w:pPr>
              <w:pStyle w:val="6"/>
              <w:spacing w:before="39" w:line="360" w:lineRule="atLeast"/>
              <w:ind w:left="106" w:right="96"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负责组织武警部队参加水旱灾害抢险救灾工作；协助当地公安部门维护灾区生产、生活秩序和社会治安；协助当地政府转移危险地区的群众。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6"/>
              <w:spacing w:before="6"/>
              <w:rPr>
                <w:rFonts w:hint="eastAsia" w:ascii="宋体" w:hAnsi="宋体" w:eastAsia="宋体" w:cs="宋体"/>
                <w:sz w:val="19"/>
              </w:rPr>
            </w:pPr>
          </w:p>
          <w:p>
            <w:pPr>
              <w:pStyle w:val="6"/>
              <w:ind w:right="354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 w:val="24"/>
              </w:rPr>
              <w:t>消防救援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sz w:val="24"/>
              </w:rPr>
              <w:t>队</w:t>
            </w:r>
          </w:p>
        </w:tc>
        <w:tc>
          <w:tcPr>
            <w:tcW w:w="10828" w:type="dxa"/>
          </w:tcPr>
          <w:p>
            <w:pPr>
              <w:pStyle w:val="6"/>
              <w:spacing w:before="2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ind w:left="58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组织、指导消防救援队伍按照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防指命令参加水旱灾害抢险救灾工作。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6"/>
              <w:spacing w:before="110"/>
              <w:ind w:right="354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黎城</w:t>
            </w:r>
            <w:r>
              <w:rPr>
                <w:rFonts w:hint="eastAsia" w:ascii="宋体" w:hAnsi="宋体" w:eastAsia="宋体" w:cs="宋体"/>
                <w:sz w:val="24"/>
              </w:rPr>
              <w:t>供电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支</w:t>
            </w:r>
            <w:r>
              <w:rPr>
                <w:rFonts w:hint="eastAsia" w:ascii="宋体" w:hAnsi="宋体" w:eastAsia="宋体" w:cs="宋体"/>
                <w:sz w:val="24"/>
              </w:rPr>
              <w:t>公司</w:t>
            </w:r>
          </w:p>
        </w:tc>
        <w:tc>
          <w:tcPr>
            <w:tcW w:w="10828" w:type="dxa"/>
          </w:tcPr>
          <w:p>
            <w:pPr>
              <w:pStyle w:val="6"/>
              <w:spacing w:before="132"/>
              <w:ind w:left="58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负责所辖供电系统的建设和运行安全；优先保障防汛抗旱抢险救灾的电力供应。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05" w:hRule="atLeast"/>
        </w:trPr>
        <w:tc>
          <w:tcPr>
            <w:tcW w:w="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6"/>
              <w:spacing w:before="37" w:line="242" w:lineRule="auto"/>
              <w:ind w:left="603" w:right="234" w:hanging="36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移动、联通、电信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黎城</w:t>
            </w:r>
            <w:r>
              <w:rPr>
                <w:rFonts w:hint="eastAsia" w:ascii="宋体" w:hAnsi="宋体" w:eastAsia="宋体" w:cs="宋体"/>
                <w:sz w:val="24"/>
              </w:rPr>
              <w:t>分公司</w:t>
            </w:r>
          </w:p>
        </w:tc>
        <w:tc>
          <w:tcPr>
            <w:tcW w:w="10828" w:type="dxa"/>
          </w:tcPr>
          <w:p>
            <w:pPr>
              <w:pStyle w:val="6"/>
              <w:spacing w:before="214"/>
              <w:ind w:left="58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负责公共通信设施的防洪建设和维护；协调做好防汛抗旱抢险救援通信保障应急工作。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20" w:hRule="atLeast"/>
        </w:trPr>
        <w:tc>
          <w:tcPr>
            <w:tcW w:w="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6"/>
              <w:spacing w:before="26" w:line="242" w:lineRule="auto"/>
              <w:ind w:left="843" w:right="354" w:hanging="48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中石化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黎城</w:t>
            </w:r>
            <w:r>
              <w:rPr>
                <w:rFonts w:hint="eastAsia" w:ascii="宋体" w:hAnsi="宋体" w:eastAsia="宋体" w:cs="宋体"/>
                <w:sz w:val="24"/>
              </w:rPr>
              <w:t>石油分公司</w:t>
            </w:r>
          </w:p>
        </w:tc>
        <w:tc>
          <w:tcPr>
            <w:tcW w:w="10828" w:type="dxa"/>
          </w:tcPr>
          <w:p>
            <w:pPr>
              <w:pStyle w:val="6"/>
              <w:spacing w:before="203"/>
              <w:ind w:left="58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负责提供水旱灾害应急油料的供应和储备。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83237"/>
    <w:rsid w:val="05E8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6"/>
      <w:ind w:left="2117" w:right="2053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2021-08-16T01:24:00Z</dcterms:created>
  <dc:creator>品位男人</dc:creator>
  <cp:lastModifiedBy>品位男人</cp:lastModifiedBy>
  <dcterms:modified xsi:type="dcterms:W3CDTF">2021-08-16T01:25:08Z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9E5D74229E98465DB4DB4400D78763E7</vt:lpwstr>
  </property>
</Properties>
</file>