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大标宋简体" w:eastAsia="方正大标宋简体" w:cs="Times New Roman"/>
          <w:sz w:val="36"/>
          <w:szCs w:val="36"/>
        </w:rPr>
      </w:pPr>
      <w:r>
        <w:rPr>
          <w:rFonts w:hint="eastAsia" w:ascii="方正大标宋简体" w:eastAsia="方正大标宋简体" w:cs="方正大标宋简体"/>
          <w:sz w:val="36"/>
          <w:szCs w:val="36"/>
        </w:rPr>
        <w:t>黎城县卫生</w:t>
      </w:r>
      <w:r>
        <w:rPr>
          <w:rFonts w:hint="eastAsia" w:ascii="方正大标宋简体" w:eastAsia="方正大标宋简体" w:cs="方正大标宋简体"/>
          <w:sz w:val="36"/>
          <w:szCs w:val="36"/>
          <w:lang w:eastAsia="zh-CN"/>
        </w:rPr>
        <w:t>健康和体育</w:t>
      </w:r>
      <w:r>
        <w:rPr>
          <w:rFonts w:hint="eastAsia" w:ascii="方正大标宋简体" w:eastAsia="方正大标宋简体" w:cs="方正大标宋简体"/>
          <w:sz w:val="36"/>
          <w:szCs w:val="36"/>
        </w:rPr>
        <w:t>局行政奖励类廉政风险防控图</w:t>
      </w:r>
    </w:p>
    <w:p>
      <w:pPr>
        <w:rPr>
          <w:rFonts w:hint="eastAsia" w:cs="宋体"/>
          <w:sz w:val="28"/>
          <w:szCs w:val="28"/>
        </w:rPr>
      </w:pPr>
    </w:p>
    <w:p>
      <w:pPr>
        <w:rPr>
          <w:rFonts w:cs="Times New Roman"/>
        </w:rPr>
      </w:pPr>
      <w:r>
        <w:pict>
          <v:rect id="Rectangle 17" o:spid="_x0000_s1026" o:spt="1" style="position:absolute;left:0pt;margin-left:0pt;margin-top:4.6pt;height:222.45pt;width:99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、对符合条件的不予受理或拖延受理，对不符合条件的人员放宽条件；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、擅自增设行政审批条件，违规增加；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、未一次性告知、刁难、拖延、谋取不正当利益；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、协助申请人隐瞒实情；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、未按规定时间及程序进行公示。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、风险等级：高：</w:t>
                  </w:r>
                </w:p>
              </w:txbxContent>
            </v:textbox>
          </v:rect>
        </w:pict>
      </w:r>
      <w:r>
        <w:pict>
          <v:shape id="AutoShape 7" o:spid="_x0000_s1027" o:spt="116" type="#_x0000_t116" style="position:absolute;left:0pt;margin-left:144pt;margin-top:4.6pt;height:49.5pt;width:126pt;z-index:10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申请人提出申请并提供相关材料</w:t>
                  </w:r>
                </w:p>
              </w:txbxContent>
            </v:textbox>
          </v:shape>
        </w:pict>
      </w:r>
    </w:p>
    <w:p>
      <w:pPr>
        <w:jc w:val="center"/>
        <w:rPr>
          <w:rFonts w:cs="Times New Roman"/>
          <w:sz w:val="32"/>
          <w:szCs w:val="32"/>
        </w:rPr>
      </w:pPr>
    </w:p>
    <w:p>
      <w:pPr>
        <w:jc w:val="center"/>
        <w:rPr>
          <w:rFonts w:cs="Times New Roman"/>
          <w:sz w:val="32"/>
          <w:szCs w:val="32"/>
        </w:rPr>
      </w:pPr>
      <w:r>
        <w:pict>
          <v:rect id="Rectangle 18" o:spid="_x0000_s1028" o:spt="1" style="position:absolute;left:0pt;margin-left:324pt;margin-top:12.4pt;height:151.35pt;width:126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、实行受理单制；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.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严格履行服务承诺制度，做到首问责任和一次性告知；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、政务公开，明确工作程序、时限等，按照规定办理；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、内部监督检查、投诉举报受理。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</w:t>
                  </w:r>
                </w:p>
              </w:txbxContent>
            </v:textbox>
          </v:rect>
        </w:pict>
      </w:r>
      <w:r>
        <w:pict>
          <v:line id="Line 24" o:spid="_x0000_s1029" o:spt="20" style="position:absolute;left:0pt;margin-left:205.8pt;margin-top:13.35pt;height:88.15pt;width:1.35pt;z-index:1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  <w:sz w:val="32"/>
          <w:szCs w:val="32"/>
        </w:rPr>
      </w:pPr>
    </w:p>
    <w:p>
      <w:pPr>
        <w:jc w:val="center"/>
        <w:rPr>
          <w:rFonts w:cs="Times New Roman"/>
          <w:sz w:val="32"/>
          <w:szCs w:val="32"/>
        </w:rPr>
      </w:pPr>
    </w:p>
    <w:p>
      <w:pPr>
        <w:rPr>
          <w:rFonts w:cs="Times New Roman"/>
          <w:sz w:val="32"/>
          <w:szCs w:val="32"/>
        </w:rPr>
      </w:pPr>
      <w:r>
        <w:pict>
          <v:rect id="Rectangle 9" o:spid="_x0000_s1030" o:spt="1" style="position:absolute;left:0pt;margin-left:144pt;margin-top:7.8pt;height:23.4pt;width:126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申报受理</w:t>
                  </w:r>
                </w:p>
              </w:txbxContent>
            </v:textbox>
          </v:rect>
        </w:pict>
      </w:r>
      <w:r>
        <w:rPr>
          <w:sz w:val="32"/>
          <w:szCs w:val="32"/>
        </w:rPr>
        <w:t xml:space="preserve">              </w:t>
      </w:r>
      <w:r>
        <w:rPr>
          <w:rFonts w:hint="eastAsia" w:cs="宋体"/>
        </w:rPr>
        <w:t>风险点</w:t>
      </w:r>
      <w:r>
        <w:t xml:space="preserve">                         </w:t>
      </w:r>
      <w:r>
        <w:rPr>
          <w:rFonts w:hint="eastAsia" w:cs="宋体"/>
        </w:rPr>
        <w:t>防控措施</w:t>
      </w:r>
    </w:p>
    <w:p>
      <w:pPr>
        <w:jc w:val="center"/>
        <w:rPr>
          <w:rFonts w:cs="Times New Roman"/>
          <w:sz w:val="32"/>
          <w:szCs w:val="32"/>
        </w:rPr>
      </w:pPr>
      <w:r>
        <w:pict>
          <v:line id="Line 1506" o:spid="_x0000_s1031" o:spt="20" style="position:absolute;left:0pt;margin-left:207pt;margin-top:20.2pt;height:124.8pt;width:0.05pt;z-index:1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Line 32" o:spid="_x0000_s1032" o:spt="20" style="position:absolute;left:0pt;margin-left:270pt;margin-top:0pt;height:0pt;width:54pt;z-index:1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Line 26" o:spid="_x0000_s1033" o:spt="20" style="position:absolute;left:0pt;flip:x;margin-left:99pt;margin-top:0pt;height:0pt;width:45pt;z-index:1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  <w:sz w:val="32"/>
          <w:szCs w:val="32"/>
        </w:rPr>
      </w:pPr>
    </w:p>
    <w:p>
      <w:pPr>
        <w:jc w:val="center"/>
        <w:rPr>
          <w:rFonts w:cs="Times New Roman"/>
          <w:sz w:val="32"/>
          <w:szCs w:val="32"/>
        </w:rPr>
      </w:pPr>
      <w:r>
        <w:pict>
          <v:rect id="Rectangle 16" o:spid="_x0000_s1034" o:spt="1" style="position:absolute;left:0pt;margin-left:0pt;margin-top:20.2pt;height:171.6pt;width:99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、违规审批，对不符合条件的申请人准予行政奖励的，对符合条件的申请人不予行政奖励；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、刁难申请人，徇私谋利；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、审批超时。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、风险等级：高</w:t>
                  </w:r>
                </w:p>
              </w:txbxContent>
            </v:textbox>
          </v:rect>
        </w:pict>
      </w:r>
      <w:r>
        <w:pict>
          <v:rect id="Rectangle 19" o:spid="_x0000_s1035" o:spt="1" style="position:absolute;left:0pt;margin-left:324pt;margin-top:4.6pt;height:171.6pt;width:126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、严格落实责任追究制度；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、对问题轻微者予以诫勉谈话，限期办结或限期纠正弥补；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、对重大违规违纪问题，按有关规定严肃查处；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、需要移交的，移交司法机关处理。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</w:p>
    <w:p>
      <w:pPr>
        <w:rPr>
          <w:rFonts w:cs="Times New Roman"/>
        </w:rPr>
      </w:pPr>
      <w:r>
        <w:pict>
          <v:rect id="Rectangle 11" o:spid="_x0000_s1036" o:spt="1" style="position:absolute;left:0pt;margin-left:144.75pt;margin-top:7.85pt;height:27.15pt;width:126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审查</w:t>
                  </w:r>
                </w:p>
              </w:txbxContent>
            </v:textbox>
          </v:rect>
        </w:pict>
      </w:r>
      <w:r>
        <w:t xml:space="preserve">                    </w:t>
      </w:r>
      <w:r>
        <w:rPr>
          <w:rFonts w:hint="eastAsia" w:cs="宋体"/>
        </w:rPr>
        <w:t>风险点</w:t>
      </w:r>
      <w:r>
        <w:t xml:space="preserve">                           </w:t>
      </w:r>
      <w:r>
        <w:rPr>
          <w:rFonts w:hint="eastAsia" w:cs="宋体"/>
        </w:rPr>
        <w:t>防控措施</w:t>
      </w:r>
    </w:p>
    <w:p>
      <w:pPr>
        <w:jc w:val="center"/>
        <w:rPr>
          <w:rFonts w:cs="Times New Roman"/>
        </w:rPr>
      </w:pPr>
      <w:r>
        <w:pict>
          <v:line id="Line 43" o:spid="_x0000_s1037" o:spt="20" style="position:absolute;left:0pt;margin-left:270pt;margin-top:0pt;height:0pt;width:54pt;z-index:1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Line 39" o:spid="_x0000_s1038" o:spt="20" style="position:absolute;left:0pt;flip:x;margin-left:99pt;margin-top:0pt;height:0pt;width:45pt;z-index:1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</w:rPr>
      </w:pPr>
      <w:r>
        <w:pict>
          <v:line id="Line 34" o:spid="_x0000_s1039" o:spt="20" style="position:absolute;left:0pt;margin-left:207.25pt;margin-top:5.25pt;height:31.4pt;width:0.6pt;z-index:1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  <w:r>
        <w:pict>
          <v:rect id="_x0000_s1040" o:spid="_x0000_s1040" o:spt="1" style="position:absolute;left:0pt;margin-left:148.5pt;margin-top:6.2pt;height:27.15pt;width:126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公示</w:t>
                  </w:r>
                </w:p>
              </w:txbxContent>
            </v:textbox>
          </v:rect>
        </w:pict>
      </w:r>
      <w:r>
        <w:pict>
          <v:rect id="Rectangle 863" o:spid="_x0000_s1041" o:spt="1" style="position:absolute;left:0pt;margin-left:459.65pt;margin-top:-280.1pt;height:7.8pt;width:9pt;z-index:102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</v:rect>
        </w:pict>
      </w: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  <w:r>
        <w:pict>
          <v:line id="_x0000_s1042" o:spid="_x0000_s1042" o:spt="20" style="position:absolute;left:0pt;flip:x;margin-left:205.45pt;margin-top:2.9pt;height:54.65pt;width:0.35pt;z-index:1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</w:rPr>
      </w:pPr>
      <w:r>
        <w:pict>
          <v:rect id="Rectangle 20" o:spid="_x0000_s1043" o:spt="1" style="position:absolute;left:0pt;margin-left:324pt;margin-top:-0.05pt;height:117pt;width:126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、严格执行奖励扶助资金发放规定；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、定期开展奖励扶助资金审计；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、加强内部监管，严格执行行政执法责任追究制度。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  <w:r>
        <w:pict>
          <v:rect id="Rectangle 13" o:spid="_x0000_s1044" o:spt="1" style="position:absolute;left:0pt;margin-left:139.5pt;margin-top:11.85pt;height:55.1pt;width:133.4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奖励</w:t>
                  </w:r>
                </w:p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（年底奖励金以直通车方式发放到奖励对象本人）</w:t>
                  </w:r>
                </w:p>
              </w:txbxContent>
            </v:textbox>
          </v:rect>
        </w:pict>
      </w:r>
    </w:p>
    <w:p>
      <w:pPr>
        <w:jc w:val="center"/>
        <w:rPr>
          <w:rFonts w:cs="Times New Roman"/>
        </w:rPr>
      </w:pPr>
      <w:r>
        <w:pict>
          <v:rect id="Rectangle 15" o:spid="_x0000_s1045" o:spt="1" style="position:absolute;left:0pt;margin-left:0pt;margin-top:4.6pt;height:78pt;width:99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、未及时发放；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、不足额发放。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、风险等级：中</w:t>
                  </w:r>
                </w:p>
              </w:txbxContent>
            </v:textbox>
          </v:rect>
        </w:pict>
      </w:r>
    </w:p>
    <w:p>
      <w:pPr>
        <w:rPr>
          <w:rFonts w:cs="Times New Roman"/>
        </w:rPr>
      </w:pPr>
      <w:r>
        <w:pict>
          <v:line id="Line 40" o:spid="_x0000_s1046" o:spt="20" style="position:absolute;left:0pt;flip:x;margin-left:99pt;margin-top:14.8pt;height:0.9pt;width:40.4pt;z-index:1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cs="宋体"/>
        </w:rPr>
        <w:t>石成金</w:t>
      </w:r>
      <w:r>
        <w:t xml:space="preserve">              </w:t>
      </w:r>
      <w:r>
        <w:rPr>
          <w:rFonts w:hint="eastAsia" w:cs="宋体"/>
        </w:rPr>
        <w:t>风险点</w:t>
      </w:r>
      <w:r>
        <w:t xml:space="preserve">                           </w:t>
      </w:r>
      <w:r>
        <w:rPr>
          <w:rFonts w:hint="eastAsia" w:cs="宋体"/>
        </w:rPr>
        <w:t>防控措施</w:t>
      </w:r>
    </w:p>
    <w:p>
      <w:pPr>
        <w:jc w:val="center"/>
        <w:rPr>
          <w:rFonts w:cs="Times New Roman"/>
        </w:rPr>
      </w:pPr>
      <w:r>
        <w:pict>
          <v:line id="Line 46" o:spid="_x0000_s1047" o:spt="20" style="position:absolute;left:0pt;margin-left:270pt;margin-top:0pt;height:0pt;width:54pt;z-index:1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</w:rPr>
      </w:pPr>
      <w:r>
        <w:pict>
          <v:line id="Line 36" o:spid="_x0000_s1048" o:spt="20" style="position:absolute;left:0pt;margin-left:207pt;margin-top:6.8pt;height:24.4pt;width:0.05pt;z-index:1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  <w:bookmarkStart w:id="0" w:name="_GoBack"/>
      <w:bookmarkEnd w:id="0"/>
      <w:r>
        <w:pict>
          <v:shape id="_x0000_s1049" o:spid="_x0000_s1049" o:spt="202" type="#_x0000_t202" style="position:absolute;left:0pt;margin-left:306.75pt;margin-top:12.8pt;height:138.35pt;width:163.9pt;z-index:1024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6"/>
                      <w:szCs w:val="16"/>
                    </w:rPr>
                    <w:t>行政主体：黎城县卫生</w:t>
                  </w:r>
                  <w:r>
                    <w:rPr>
                      <w:rFonts w:hint="eastAsia" w:cs="宋体"/>
                      <w:sz w:val="16"/>
                      <w:szCs w:val="16"/>
                      <w:lang w:eastAsia="zh-CN"/>
                    </w:rPr>
                    <w:t>健康和体育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局</w:t>
                  </w:r>
                  <w:r>
                    <w:rPr>
                      <w:sz w:val="18"/>
                      <w:szCs w:val="18"/>
                    </w:rPr>
                    <w:t xml:space="preserve">                         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承办机构：妇幼指导科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负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责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人：程玲霞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监督电话：</w:t>
                  </w:r>
                  <w:r>
                    <w:rPr>
                      <w:sz w:val="18"/>
                      <w:szCs w:val="18"/>
                    </w:rPr>
                    <w:t>0355-6561629</w:t>
                  </w:r>
                </w:p>
              </w:txbxContent>
            </v:textbox>
          </v:shape>
        </w:pict>
      </w:r>
      <w:r>
        <w:pict>
          <v:shape id="AutoShape 14" o:spid="_x0000_s1050" o:spt="116" type="#_x0000_t116" style="position:absolute;left:0pt;margin-left:144pt;margin-top:0pt;height:28pt;width:126pt;z-index:10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办结</w:t>
                  </w:r>
                </w:p>
              </w:txbxContent>
            </v:textbox>
          </v:shape>
        </w:pict>
      </w:r>
    </w:p>
    <w:p>
      <w:pPr>
        <w:jc w:val="center"/>
        <w:rPr>
          <w:rFonts w:cs="Times New Roman"/>
        </w:rPr>
      </w:pPr>
    </w:p>
    <w:p>
      <w:pPr>
        <w:spacing w:line="500" w:lineRule="exact"/>
        <w:jc w:val="center"/>
        <w:rPr>
          <w:rFonts w:ascii="方正大标宋简体" w:eastAsia="方正大标宋简体" w:cs="Times New Roman"/>
          <w:sz w:val="36"/>
          <w:szCs w:val="36"/>
        </w:rPr>
      </w:pPr>
    </w:p>
    <w:p>
      <w:pPr>
        <w:rPr>
          <w:rFonts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74A2"/>
    <w:rsid w:val="000637E5"/>
    <w:rsid w:val="00074A4D"/>
    <w:rsid w:val="001E7347"/>
    <w:rsid w:val="002331FC"/>
    <w:rsid w:val="003D1A04"/>
    <w:rsid w:val="005812C2"/>
    <w:rsid w:val="00593884"/>
    <w:rsid w:val="00A5270F"/>
    <w:rsid w:val="00AC48C9"/>
    <w:rsid w:val="00B146D8"/>
    <w:rsid w:val="00D26106"/>
    <w:rsid w:val="00E174A2"/>
    <w:rsid w:val="23003422"/>
    <w:rsid w:val="23B22F9A"/>
    <w:rsid w:val="2A7F7FFB"/>
    <w:rsid w:val="2F3C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34</Words>
  <Characters>198</Characters>
  <Lines>1</Lines>
  <Paragraphs>1</Paragraphs>
  <TotalTime>5</TotalTime>
  <ScaleCrop>false</ScaleCrop>
  <LinksUpToDate>false</LinksUpToDate>
  <CharactersWithSpaces>231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子善</cp:lastModifiedBy>
  <cp:lastPrinted>2016-06-27T10:10:00Z</cp:lastPrinted>
  <dcterms:modified xsi:type="dcterms:W3CDTF">2019-07-19T10:08:41Z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