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89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48" w:afterAutospacing="0"/>
        <w:ind w:left="0" w:right="0"/>
        <w:jc w:val="center"/>
        <w:rPr>
          <w:rFonts w:ascii="微软雅黑" w:hAnsi="微软雅黑" w:eastAsia="微软雅黑" w:cs="微软雅黑"/>
          <w:color w:val="444444"/>
          <w:sz w:val="40"/>
          <w:szCs w:val="40"/>
        </w:rPr>
      </w:pPr>
      <w:r>
        <w:rPr>
          <w:rFonts w:hint="eastAsia" w:ascii="微软雅黑" w:hAnsi="微软雅黑" w:eastAsia="微软雅黑" w:cs="微软雅黑"/>
          <w:i w:val="0"/>
          <w:iCs w:val="0"/>
          <w:caps w:val="0"/>
          <w:color w:val="444444"/>
          <w:spacing w:val="0"/>
          <w:sz w:val="40"/>
          <w:szCs w:val="40"/>
          <w:lang w:val="en-US" w:eastAsia="zh-CN"/>
        </w:rPr>
        <w:t>西仵镇</w:t>
      </w:r>
      <w:r>
        <w:rPr>
          <w:rFonts w:hint="eastAsia" w:ascii="微软雅黑" w:hAnsi="微软雅黑" w:eastAsia="微软雅黑" w:cs="微软雅黑"/>
          <w:i w:val="0"/>
          <w:iCs w:val="0"/>
          <w:caps w:val="0"/>
          <w:color w:val="444444"/>
          <w:spacing w:val="0"/>
          <w:sz w:val="40"/>
          <w:szCs w:val="40"/>
        </w:rPr>
        <w:t>涉企行政检查事项依据和清单</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0"/>
        <w:gridCol w:w="1400"/>
        <w:gridCol w:w="778"/>
        <w:gridCol w:w="4365"/>
        <w:gridCol w:w="556"/>
        <w:gridCol w:w="546"/>
        <w:gridCol w:w="501"/>
      </w:tblGrid>
      <w:tr w14:paraId="03A678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2" w:hRule="atLeast"/>
        </w:trPr>
        <w:tc>
          <w:tcPr>
            <w:tcW w:w="8426" w:type="dxa"/>
            <w:gridSpan w:val="7"/>
            <w:tcBorders>
              <w:top w:val="nil"/>
              <w:left w:val="nil"/>
              <w:bottom w:val="nil"/>
              <w:right w:val="nil"/>
            </w:tcBorders>
            <w:shd w:val="clear" w:color="auto" w:fill="auto"/>
            <w:tcMar>
              <w:top w:w="60" w:type="dxa"/>
              <w:left w:w="60" w:type="dxa"/>
              <w:bottom w:w="60" w:type="dxa"/>
              <w:right w:w="60" w:type="dxa"/>
            </w:tcMar>
            <w:vAlign w:val="center"/>
          </w:tcPr>
          <w:p w14:paraId="356AFCE4">
            <w:pPr>
              <w:keepNext w:val="0"/>
              <w:keepLines w:val="0"/>
              <w:widowControl/>
              <w:suppressLineNumbers w:val="0"/>
              <w:wordWrap w:val="0"/>
              <w:spacing w:before="0" w:beforeAutospacing="0" w:after="0" w:afterAutospacing="0"/>
              <w:ind w:left="0" w:right="0"/>
              <w:jc w:val="center"/>
              <w:textAlignment w:val="center"/>
              <w:rPr>
                <w:rFonts w:hint="eastAsia" w:ascii="微软雅黑" w:hAnsi="微软雅黑" w:eastAsia="微软雅黑" w:cs="微软雅黑"/>
                <w:sz w:val="16"/>
                <w:szCs w:val="16"/>
              </w:rPr>
            </w:pPr>
          </w:p>
        </w:tc>
      </w:tr>
      <w:tr w14:paraId="1DFB75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13907EC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35AE8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事项名称</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47D5D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事项</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类型</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A01A1F1">
            <w:pPr>
              <w:keepNext w:val="0"/>
              <w:keepLines w:val="0"/>
              <w:widowControl/>
              <w:suppressLineNumbers w:val="0"/>
              <w:wordWrap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事项依据</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782C9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事项主体</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5C97E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实施主体</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E4151E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备注</w:t>
            </w:r>
          </w:p>
        </w:tc>
      </w:tr>
      <w:tr w14:paraId="5E55B0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61"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0B03EC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987AEB2">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对生产经营单位安全生产状况的监督检查</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845DE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7D6DDCBC">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【法律】《中华人民共和国安全生产法》（2021年修正）</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【政府规章】《山西省生产经营单位主要负责人安全生产责任制规定》（2021年省政府令第293号）</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四条第二款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1FB3258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西仵镇人民政府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CFB4E9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西仵镇人民政府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266014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p>
        </w:tc>
      </w:tr>
      <w:tr w14:paraId="3E33EF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0"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2B719D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lang w:val="en-US" w:eastAsia="zh-CN"/>
              </w:rPr>
            </w:pPr>
            <w:r>
              <w:rPr>
                <w:rFonts w:hint="eastAsia" w:ascii="微软雅黑" w:hAnsi="微软雅黑" w:eastAsia="微软雅黑" w:cs="微软雅黑"/>
                <w:sz w:val="16"/>
                <w:szCs w:val="16"/>
                <w:lang w:val="en-US" w:eastAsia="zh-CN"/>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057FBD50">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对地质灾害险情的检查</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A8959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5641B99">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【行政法规】《地质灾害防治条例》（2003年国务院令第394号）</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第十五条第一款 　地质灾害易发区的县、乡、村应当加强地质灾害的群测群防工作。在地质灾害重点防范期内，乡镇人民政府、基层群众自治组织应当加强地质灾害险情的巡回检查，发现险情及时处理和报告。</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F48B6A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西仵镇人民政府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065A9E4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西仵镇人民政府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DCC2B8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p>
        </w:tc>
      </w:tr>
      <w:tr w14:paraId="485B9E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1"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7B0ECA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68501C68">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对消防安全的检查</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6FCE6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C6EDDC9">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【法律】《中华人民共和国消防法》（2021年修正）</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第三十一条　在农业收获季节、森林和草原防火期间、重大节假日期间以及火灾多发季节，地方各级人民政府应当组织开展有针对性的消防宣传教育，采取防火措施，进行消防安全检查。</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第三十二条　乡镇人民政府、城市街道办事处应当指导、支持和帮助村民委员会、居民委员会开展群众性的消防工作。村民委员会、居民委员会应当确定消防安全管理人，组织制定防火安全公约，进行防火安全检查。</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【政府规章】《山西省消防安全责任制实施办法》（2020年省政府令第267号）</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第八条 　乡（镇）人民政府履行下列消防安全工作职责：</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　（三）根据当地经济发展和消防工作的需要，建立承担火灾扑救、应急救援等职能的专职消防队、志愿消防队，开展消防宣传、防火巡查、隐患查改；</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66F2492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西仵镇人民政府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530925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西仵镇人民政府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664AC49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p>
        </w:tc>
      </w:tr>
      <w:tr w14:paraId="0931E4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0"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05A58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E32CA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对宗教事务的监督管理</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3ED04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8C603B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【行政法规】《宗教事务条例》第六条第三款　乡级人民政府应当做好本行政区域的宗教事务管理工作。村民委员会、居民委员会应当依法协助人民政府管理宗教事务。</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第三十五条第二款　在县级人民政府宗教事务部门指导下，所在地乡级人</w:t>
            </w:r>
            <w:bookmarkStart w:id="0" w:name="_GoBack"/>
            <w:bookmarkEnd w:id="0"/>
            <w:r>
              <w:rPr>
                <w:rFonts w:hint="eastAsia" w:ascii="微软雅黑" w:hAnsi="微软雅黑" w:eastAsia="微软雅黑" w:cs="微软雅黑"/>
                <w:kern w:val="0"/>
                <w:sz w:val="16"/>
                <w:szCs w:val="16"/>
                <w:lang w:val="en-US" w:eastAsia="zh-CN" w:bidi="ar"/>
              </w:rPr>
              <w:t>民政府对临时活动地点的活动进行监管。具备设立宗教活动场所条件后，办理宗教活动场所设立审批和登记手续。　　　　　　　　　　　　　　　　　　　　　　　　　　　　　　　　　　　　　　　　　　　　　　　　　　　　　　　　　　　　　　　　　　　　　　　　第四十二条第二款　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231AC55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西仵镇人民政府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1C62014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西仵镇人民政府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0E13921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p>
        </w:tc>
      </w:tr>
      <w:tr w14:paraId="1A0F0C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0"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29052BBB">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7251EC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对不满16周岁的未成年人的父母或者其他监护人允许其被用人单位非法招用的批评教育</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72A312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0E29027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【行政法规】《禁止使用童工规定》第三条　不满16周岁的未成年人的父母或者其他监护人应当保护其身心健康，保障其接受义务教育的权利，不得允许其被用人单位非法招用。</w:t>
            </w:r>
          </w:p>
          <w:p w14:paraId="0A74887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不满16周岁的未成年人的父母或者其他监护人允许其被用人单位非法招用的，所在地的乡（镇）人民政府、城市街道办事处以及村民委员会、居民委员会应当给予批评教育。　</w:t>
            </w:r>
          </w:p>
          <w:p w14:paraId="63A5D4B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65664C8D">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西仵镇人民政府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0E52F1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西仵镇人民政府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942A58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p>
        </w:tc>
      </w:tr>
    </w:tbl>
    <w:p w14:paraId="35A60811">
      <w:pPr>
        <w:keepNext w:val="0"/>
        <w:keepLines w:val="0"/>
        <w:widowControl/>
        <w:suppressLineNumbers w:val="0"/>
        <w:spacing w:before="0" w:beforeAutospacing="0" w:after="0" w:afterAutospacing="0"/>
        <w:ind w:left="0" w:right="0"/>
        <w:jc w:val="both"/>
        <w:textAlignment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41086"/>
    <w:rsid w:val="226D546F"/>
    <w:rsid w:val="2AC87FF8"/>
    <w:rsid w:val="58B24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1581</Words>
  <Characters>1607</Characters>
  <Lines>0</Lines>
  <Paragraphs>0</Paragraphs>
  <TotalTime>0</TotalTime>
  <ScaleCrop>false</ScaleCrop>
  <LinksUpToDate>false</LinksUpToDate>
  <CharactersWithSpaces>1690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2025-08-20T07:09:00Z</dcterms:created>
  <dc:creator>DELL</dc:creator>
  <cp:lastModifiedBy>淡笑浮华</cp:lastModifiedBy>
  <cp:lastPrinted>2025-08-20T08:18:58Z</cp:lastPrinted>
  <dcterms:modified xsi:type="dcterms:W3CDTF">2025-08-20T08:19:16Z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eyJoZGlkIjoiZTYxZjdiZTI4NTljOWU3ZDY0YWVhNTI5OTU0MDY2ZmIiLCJ1c2VySWQiOiI5ODk2OTUyMjMifQ==</vt:lpwstr>
  </property>
  <property fmtid="{D5CDD505-2E9C-101B-9397-08002B2CF9AE}" pid="4" name="ICV">
    <vt:lpwstr>C8B4CD7E97504A99B2EE0E8A86E33179_13</vt:lpwstr>
  </property>
</Properties>
</file>