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8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Toc476665387"/>
      <w:bookmarkStart w:id="1" w:name="_Toc396400544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黎城经济技术开发区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污水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工程专项规划</w:t>
      </w:r>
    </w:p>
    <w:p w14:paraId="3511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规划目标</w:t>
      </w:r>
      <w:bookmarkEnd w:id="0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以“绿色、低碳、生态、智慧”理念为引领，构建覆盖全开发区，科学合理的智慧化污水收集处理系统，实现污水全收集、全处理、零排放。</w:t>
      </w:r>
    </w:p>
    <w:p w14:paraId="3081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instrText xml:space="preserve"> HYPERLINK \l "_Toc393532601" </w:instrTex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fldChar w:fldCharType="separate"/>
      </w:r>
      <w:bookmarkStart w:id="2" w:name="_Toc476665388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规划</w:t>
      </w: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范围</w:t>
      </w:r>
      <w:bookmarkEnd w:id="2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本次规划范围为黎城经济技术开发区“一区两园”，包括北部新材料产业园和南部循环经济产业园两个园区，规划总用地面积为17.15平方公里。</w:t>
      </w:r>
    </w:p>
    <w:p w14:paraId="214B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3" w:name="_Toc476665390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规划期限</w:t>
      </w:r>
      <w:bookmarkEnd w:id="3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：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202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  <w:t>4—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2035年，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  <w:t>其中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近期至20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bookmarkEnd w:id="1"/>
    <w:p w14:paraId="56F6F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4" w:name="_Toc398198586"/>
      <w:bookmarkEnd w:id="4"/>
      <w:bookmarkStart w:id="5" w:name="_Toc394478332"/>
      <w:bookmarkEnd w:id="5"/>
      <w:bookmarkStart w:id="6" w:name="_Toc394478434"/>
      <w:bookmarkEnd w:id="6"/>
      <w:bookmarkStart w:id="7" w:name="_Toc396400545"/>
      <w:bookmarkEnd w:id="7"/>
      <w:bookmarkStart w:id="8" w:name="_Toc398107399"/>
      <w:bookmarkEnd w:id="8"/>
      <w:bookmarkStart w:id="9" w:name="_Toc398198587"/>
      <w:bookmarkEnd w:id="9"/>
      <w:bookmarkStart w:id="10" w:name="_Toc398206654"/>
      <w:bookmarkEnd w:id="10"/>
      <w:bookmarkStart w:id="11" w:name="_Toc398107398"/>
      <w:bookmarkEnd w:id="11"/>
      <w:bookmarkStart w:id="12" w:name="_Toc398192563"/>
      <w:bookmarkEnd w:id="12"/>
      <w:bookmarkStart w:id="13" w:name="_Toc394478333"/>
      <w:bookmarkEnd w:id="13"/>
      <w:bookmarkStart w:id="14" w:name="_Toc396400750"/>
      <w:bookmarkEnd w:id="14"/>
      <w:bookmarkStart w:id="15" w:name="_Toc398206653"/>
      <w:bookmarkEnd w:id="15"/>
      <w:bookmarkStart w:id="16" w:name="_Toc396400546"/>
      <w:bookmarkEnd w:id="16"/>
      <w:bookmarkStart w:id="17" w:name="_Toc398192564"/>
      <w:bookmarkEnd w:id="17"/>
      <w:bookmarkStart w:id="18" w:name="_Toc396400751"/>
      <w:bookmarkEnd w:id="18"/>
      <w:bookmarkStart w:id="19" w:name="_Toc394478435"/>
      <w:bookmarkEnd w:id="19"/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排水体制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  <w:bookmarkStart w:id="20" w:name="_Toc398198590"/>
      <w:bookmarkEnd w:id="20"/>
      <w:bookmarkStart w:id="21" w:name="_Toc398206657"/>
      <w:bookmarkEnd w:id="21"/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黎城经济技术开发区排水体制远期为完全分流制。</w:t>
      </w:r>
    </w:p>
    <w:p w14:paraId="15CA0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排水分区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  <w:t>根据相关政策要求以及黎城经济技术开发区用地布局功能分区，将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黎城经济技术开发区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  <w:t>污水系统共分为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南北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  <w:t>两个排水分区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</w:rPr>
        <w:t>。</w:t>
      </w:r>
    </w:p>
    <w:p w14:paraId="59AF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bookmarkStart w:id="22" w:name="_Toc31912"/>
      <w:bookmarkStart w:id="23" w:name="_Toc28322"/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污水厂规划：</w:t>
      </w:r>
      <w:bookmarkEnd w:id="22"/>
      <w:bookmarkEnd w:id="23"/>
      <w:bookmarkStart w:id="24" w:name="_Toc16138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规划保留黎城经济技术开发区污水处理厂，近期主要接纳南部循环经济产业园产生的污水，远期接纳处理北部新材料产业园污水。根据污水量计算结果，由于太行钢厂、裕福焦化等企业现状已建设企业污水处理设施，污水不对外排放，预测开发区企业远期外排污水量为1.56万m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/d。已建成规模为10000m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/d，设计规模为20000m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/d。</w:t>
      </w:r>
    </w:p>
    <w:bookmarkEnd w:id="24"/>
    <w:p w14:paraId="0395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2" w:firstLineChars="200"/>
        <w:textAlignment w:val="auto"/>
        <w:rPr>
          <w:rFonts w:hint="default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近期设施规划：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南经四路及G207交叉口新建一体化污水泵站1座，规模70m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/h，站区总占地面积16.8m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。</w:t>
      </w:r>
    </w:p>
    <w:p w14:paraId="6B8E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</w:p>
    <w:p w14:paraId="55BE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shd w:val="clear" w:color="auto" w:fill="auto"/>
        </w:rPr>
      </w:pPr>
    </w:p>
    <w:p w14:paraId="36A7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4575" cy="6550660"/>
            <wp:effectExtent l="0" t="0" r="0" b="0"/>
            <wp:docPr id="2" name="图片 2" descr="07北部园区污水系统图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北部园区污水系统图_看图王"/>
                    <pic:cNvPicPr>
                      <a:picLocks noChangeAspect="1"/>
                    </pic:cNvPicPr>
                  </pic:nvPicPr>
                  <pic:blipFill>
                    <a:blip r:embed="rId4"/>
                    <a:srcRect l="3993" t="6020" r="3497" b="5643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655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B2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6810" cy="6520180"/>
            <wp:effectExtent l="0" t="0" r="0" b="0"/>
            <wp:docPr id="3" name="图片 3" descr="08南部园区污水系统图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南部园区污水系统图_看图王(1)"/>
                    <pic:cNvPicPr>
                      <a:picLocks noChangeAspect="1"/>
                    </pic:cNvPicPr>
                  </pic:nvPicPr>
                  <pic:blipFill>
                    <a:blip r:embed="rId5"/>
                    <a:srcRect l="3291" t="6380" r="2251" b="5694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652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D3FB4"/>
    <w:multiLevelType w:val="multilevel"/>
    <w:tmpl w:val="683D3FB4"/>
    <w:lvl w:ilvl="0" w:tentative="0">
      <w:start w:val="1"/>
      <w:numFmt w:val="chineseCountingThousand"/>
      <w:suff w:val="space"/>
      <w:lvlText w:val="第%1部分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Restart w:val="0"/>
      <w:isLgl/>
      <w:suff w:val="space"/>
      <w:lvlText w:val="第%2章"/>
      <w:lvlJc w:val="left"/>
      <w:pPr>
        <w:ind w:left="0" w:firstLine="0"/>
      </w:pPr>
      <w:rPr>
        <w:rFonts w:hint="eastAsia"/>
        <w:sz w:val="32"/>
        <w:szCs w:val="32"/>
        <w:lang w:val="en-US"/>
      </w:rPr>
    </w:lvl>
    <w:lvl w:ilvl="2" w:tentative="0">
      <w:start w:val="1"/>
      <w:numFmt w:val="decimal"/>
      <w:pStyle w:val="2"/>
      <w:isLgl/>
      <w:suff w:val="space"/>
      <w:lvlText w:val="%2.%3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 w:ascii="仿宋" w:hAnsi="仿宋" w:eastAsia="仿宋"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/>
        <w:lang w:val="en-US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227"/>
      </w:pPr>
      <w:rPr>
        <w:rFonts w:hint="default"/>
        <w:lang w:val="en-US"/>
      </w:rPr>
    </w:lvl>
    <w:lvl w:ilvl="6" w:tentative="0">
      <w:start w:val="1"/>
      <w:numFmt w:val="bullet"/>
      <w:suff w:val="space"/>
      <w:lvlText w:val=""/>
      <w:lvlJc w:val="left"/>
      <w:pPr>
        <w:ind w:left="0" w:firstLine="227"/>
      </w:pPr>
      <w:rPr>
        <w:rFonts w:hint="default" w:ascii="Symbol" w:hAnsi="Symbol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FE"/>
    <w:rsid w:val="000608A0"/>
    <w:rsid w:val="00090F69"/>
    <w:rsid w:val="002A5CE1"/>
    <w:rsid w:val="00305B72"/>
    <w:rsid w:val="00324C23"/>
    <w:rsid w:val="003360FE"/>
    <w:rsid w:val="00340CD0"/>
    <w:rsid w:val="003815D6"/>
    <w:rsid w:val="003F30A6"/>
    <w:rsid w:val="004C3F44"/>
    <w:rsid w:val="00510ECA"/>
    <w:rsid w:val="0059790F"/>
    <w:rsid w:val="00615536"/>
    <w:rsid w:val="006A6A0F"/>
    <w:rsid w:val="00820B65"/>
    <w:rsid w:val="00946DD1"/>
    <w:rsid w:val="00956535"/>
    <w:rsid w:val="009E30AB"/>
    <w:rsid w:val="009F2014"/>
    <w:rsid w:val="00A15FF5"/>
    <w:rsid w:val="00A20479"/>
    <w:rsid w:val="00C472A0"/>
    <w:rsid w:val="00D54316"/>
    <w:rsid w:val="00DF46CD"/>
    <w:rsid w:val="09F95771"/>
    <w:rsid w:val="14EB12F7"/>
    <w:rsid w:val="23176025"/>
    <w:rsid w:val="3AAD159C"/>
    <w:rsid w:val="3D705871"/>
    <w:rsid w:val="411C36E0"/>
    <w:rsid w:val="5F6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numPr>
        <w:ilvl w:val="2"/>
        <w:numId w:val="1"/>
      </w:numPr>
      <w:spacing w:before="156" w:beforeLines="50" w:after="156" w:afterLines="50" w:line="300" w:lineRule="auto"/>
      <w:outlineLvl w:val="2"/>
    </w:pPr>
    <w:rPr>
      <w:rFonts w:ascii="幼圆" w:hAnsi="Times New Roman" w:eastAsia="幼圆" w:cs="Times New Roman"/>
      <w:b/>
      <w:bCs/>
      <w:kern w:val="2"/>
      <w:sz w:val="28"/>
      <w:szCs w:val="3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441</Words>
  <Characters>489</Characters>
  <Lines>8</Lines>
  <Paragraphs>2</Paragraphs>
  <TotalTime>35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2017-03-20T01:33:00Z</dcterms:created>
  <dc:creator>XXH</dc:creator>
  <cp:lastModifiedBy>刘浩洲</cp:lastModifiedBy>
  <cp:lastPrinted>2017-03-20T02:35:00Z</cp:lastPrinted>
  <dcterms:modified xsi:type="dcterms:W3CDTF">2025-12-23T03:08:47Z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eyJoZGlkIjoiMTVhNWEyZGYzZTUyMTA0OWYxYmJiZWQ1Y2MyNzQyNGEiLCJ1c2VySWQiOiIyMzA1MTE3MTIifQ==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60C0B9841FDF4C909A9E573A92405EE4_13</vt:lpwstr>
  </property>
</Properties>
</file>