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26FC2">
      <w:pPr>
        <w:spacing w:line="360" w:lineRule="auto"/>
        <w:ind w:firstLine="643" w:firstLineChars="20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bookmarkStart w:id="0" w:name="_Toc476665387"/>
      <w:bookmarkStart w:id="1" w:name="_Toc396400544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黎城经济技术开发区电力工程专项规划</w:t>
      </w:r>
    </w:p>
    <w:p w14:paraId="1E4652CD">
      <w:pPr>
        <w:spacing w:line="360" w:lineRule="auto"/>
        <w:ind w:firstLine="602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aps/>
          <w:sz w:val="30"/>
          <w:szCs w:val="30"/>
        </w:rPr>
        <w:t>规划目标</w:t>
      </w:r>
      <w:bookmarkEnd w:id="0"/>
      <w:r>
        <w:rPr>
          <w:rFonts w:hint="eastAsia" w:ascii="仿宋_GB2312" w:hAnsi="仿宋_GB2312" w:eastAsia="仿宋_GB2312" w:cs="仿宋_GB2312"/>
          <w:b/>
          <w:bCs/>
          <w:caps/>
          <w:sz w:val="30"/>
          <w:szCs w:val="30"/>
        </w:rPr>
        <w:t>: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以用电需求为中心，以建成“清洁低碳、安全可靠、经济高效、智能互动”的能源互联网为目标，为黎城经济技术开发区建设和经济社会发展提供坚强的电力保障。</w:t>
      </w:r>
    </w:p>
    <w:p w14:paraId="0AE3367A"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fldChar w:fldCharType="begin"/>
      </w:r>
      <w:r>
        <w:instrText xml:space="preserve"> HYPERLINK \l "_Toc393532601" </w:instrText>
      </w:r>
      <w:r>
        <w:fldChar w:fldCharType="separate"/>
      </w:r>
      <w:bookmarkStart w:id="2" w:name="_Toc476665388"/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规划</w:t>
      </w:r>
      <w:r>
        <w:rPr>
          <w:rFonts w:hint="eastAsia" w:ascii="仿宋_GB2312" w:hAnsi="仿宋_GB2312" w:eastAsia="仿宋_GB2312" w:cs="仿宋_GB2312"/>
          <w:b/>
          <w:bCs/>
          <w:caps/>
          <w:sz w:val="30"/>
          <w:szCs w:val="30"/>
        </w:rPr>
        <w:t>范围</w:t>
      </w:r>
      <w:bookmarkEnd w:id="2"/>
      <w:r>
        <w:rPr>
          <w:rFonts w:hint="eastAsia" w:ascii="仿宋_GB2312" w:hAnsi="仿宋_GB2312" w:eastAsia="仿宋_GB2312" w:cs="仿宋_GB2312"/>
          <w:b/>
          <w:bCs/>
          <w:caps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aps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本次规划范围为黎城经济技术开发区“一区两园”，包括北部新材料产业园和南部循环经济产业园两个园区，规划总用地面积为17.15平方公里。</w:t>
      </w:r>
    </w:p>
    <w:p w14:paraId="49AD9C0B">
      <w:pPr>
        <w:spacing w:line="360" w:lineRule="auto"/>
        <w:ind w:firstLine="602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bookmarkStart w:id="3" w:name="_Toc476665390"/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规划期限</w:t>
      </w:r>
      <w:bookmarkEnd w:id="3"/>
      <w:r>
        <w:rPr>
          <w:rFonts w:hint="eastAsia" w:ascii="仿宋_GB2312" w:hAnsi="仿宋_GB2312" w:eastAsia="仿宋_GB2312" w:cs="仿宋_GB2312"/>
          <w:b/>
          <w:bCs/>
          <w:caps/>
          <w:sz w:val="30"/>
          <w:szCs w:val="30"/>
        </w:rPr>
        <w:t>：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2024—2035年，其中近期至2027年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。</w:t>
      </w:r>
    </w:p>
    <w:bookmarkEnd w:id="1"/>
    <w:p w14:paraId="244834E7">
      <w:pPr>
        <w:spacing w:line="360" w:lineRule="auto"/>
        <w:ind w:firstLine="602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bookmarkStart w:id="4" w:name="_Toc394478332"/>
      <w:bookmarkEnd w:id="4"/>
      <w:bookmarkStart w:id="5" w:name="_Toc398198587"/>
      <w:bookmarkEnd w:id="5"/>
      <w:bookmarkStart w:id="6" w:name="_Toc396400546"/>
      <w:bookmarkEnd w:id="6"/>
      <w:bookmarkStart w:id="7" w:name="_Toc398192563"/>
      <w:bookmarkEnd w:id="7"/>
      <w:bookmarkStart w:id="8" w:name="_Toc396400751"/>
      <w:bookmarkEnd w:id="8"/>
      <w:bookmarkStart w:id="9" w:name="_Toc396400750"/>
      <w:bookmarkEnd w:id="9"/>
      <w:bookmarkStart w:id="10" w:name="_Toc398206654"/>
      <w:bookmarkEnd w:id="10"/>
      <w:bookmarkStart w:id="11" w:name="_Toc398206653"/>
      <w:bookmarkEnd w:id="11"/>
      <w:bookmarkStart w:id="12" w:name="_Toc398192564"/>
      <w:bookmarkEnd w:id="12"/>
      <w:bookmarkStart w:id="13" w:name="_Toc398198586"/>
      <w:bookmarkEnd w:id="13"/>
      <w:bookmarkStart w:id="14" w:name="_Toc398107399"/>
      <w:bookmarkEnd w:id="14"/>
      <w:bookmarkStart w:id="15" w:name="_Toc394478435"/>
      <w:bookmarkEnd w:id="15"/>
      <w:bookmarkStart w:id="16" w:name="_Toc394478434"/>
      <w:bookmarkEnd w:id="16"/>
      <w:bookmarkStart w:id="17" w:name="_Toc398107398"/>
      <w:bookmarkEnd w:id="17"/>
      <w:bookmarkStart w:id="18" w:name="_Toc394478333"/>
      <w:bookmarkEnd w:id="18"/>
      <w:bookmarkStart w:id="19" w:name="_Toc396400545"/>
      <w:bookmarkEnd w:id="19"/>
      <w:bookmarkStart w:id="20" w:name="_Toc396400549"/>
      <w:bookmarkStart w:id="21" w:name="_Toc476665395"/>
      <w:r>
        <w:rPr>
          <w:rFonts w:ascii="仿宋_GB2312" w:hAnsi="仿宋_GB2312" w:eastAsia="仿宋_GB2312" w:cs="仿宋_GB2312"/>
          <w:b/>
          <w:kern w:val="0"/>
          <w:sz w:val="30"/>
          <w:szCs w:val="30"/>
        </w:rPr>
        <w:t>高压电网</w:t>
      </w:r>
      <w:bookmarkEnd w:id="20"/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系统</w:t>
      </w:r>
      <w:bookmarkEnd w:id="21"/>
      <w:r>
        <w:rPr>
          <w:rFonts w:hint="eastAsia" w:ascii="仿宋_GB2312" w:hAnsi="仿宋_GB2312" w:eastAsia="仿宋_GB2312" w:cs="仿宋_GB2312"/>
          <w:b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变电站是电网中变换电压、交换、汇集、分配电能的设施。变电站的布局、数量和容量直接关系到规划区电网的整体网架结构，对配电网络的可靠性、经济性和电能质量有着直接的影响。规划在利用现状正川220kV变电站、黎城110kV变电站的基础上，规划新增黎侯220kV变电站、幸福110kV变电站、黎开110kV变电站，作为黎城经济技术开发区的主要供电电源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。</w:t>
      </w:r>
    </w:p>
    <w:p w14:paraId="5FC55AE1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黎侯220kV变电站两路220kV电源线路由500kV潞城站和220kV平顺变电站敷设引来。新建幸福110kV变电站电源采用双回路电源接入，分别为220kV正川110kV供电线路和平顺县变电站110kV供电线路。新建黎开110kV变电站电源线来自正川变电站，沿G309敷设引来。</w:t>
      </w:r>
    </w:p>
    <w:p w14:paraId="012252C5">
      <w:pPr>
        <w:spacing w:line="360" w:lineRule="auto"/>
        <w:ind w:firstLine="602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中、低</w:t>
      </w:r>
      <w:r>
        <w:rPr>
          <w:rFonts w:ascii="仿宋_GB2312" w:hAnsi="仿宋_GB2312" w:eastAsia="仿宋_GB2312" w:cs="仿宋_GB2312"/>
          <w:b/>
          <w:kern w:val="0"/>
          <w:sz w:val="30"/>
          <w:szCs w:val="30"/>
        </w:rPr>
        <w:t>压电网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系统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10kV开关站、配电室、箱式变等设施是配电网中的重要配电设施。黎城经济技术开发区10kV中压配电线网由2座220kV变电站、3座110kV变电站、1座35kV变电站（西仵35kV变电站），沿道路敷设中压电缆至10kV开关站和用户。10kV开关站的接线力求简化，一般采用单母线分段接线。开关站10kV电源进线为2回或2进1备，出线宜为6～12回，双列布置。</w:t>
      </w:r>
    </w:p>
    <w:p w14:paraId="60A9098F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规划电力线路全部入地敷设。其中，110kV同路径敷设3回以上时，采用隧道方式；10kV同路径敷设21回以上时，采用隧道方式；其余可采用排管方式。</w:t>
      </w:r>
    </w:p>
    <w:p w14:paraId="4FE08DF3">
      <w:pPr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  <w:r>
        <w:drawing>
          <wp:inline distT="0" distB="0" distL="0" distR="0">
            <wp:extent cx="5041265" cy="6620510"/>
            <wp:effectExtent l="0" t="0" r="0" b="0"/>
            <wp:docPr id="12199176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17695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" t="5375" r="1373" b="5818"/>
                    <a:stretch>
                      <a:fillRect/>
                    </a:stretch>
                  </pic:blipFill>
                  <pic:spPr>
                    <a:xfrm>
                      <a:off x="0" y="0"/>
                      <a:ext cx="5041265" cy="662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2" w:name="_GoBack"/>
      <w:bookmarkEnd w:id="22"/>
    </w:p>
    <w:p w14:paraId="74B28116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7F0F12B6">
      <w:pPr>
        <w:spacing w:line="360" w:lineRule="auto"/>
        <w:ind w:firstLine="420" w:firstLineChars="2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3D3FB4"/>
    <w:multiLevelType w:val="multilevel"/>
    <w:tmpl w:val="683D3FB4"/>
    <w:lvl w:ilvl="0" w:tentative="0">
      <w:start w:val="1"/>
      <w:numFmt w:val="chineseCountingThousand"/>
      <w:suff w:val="space"/>
      <w:lvlText w:val="第%1部分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Restart w:val="0"/>
      <w:isLgl/>
      <w:suff w:val="space"/>
      <w:lvlText w:val="第%2章"/>
      <w:lvlJc w:val="left"/>
      <w:pPr>
        <w:ind w:left="0" w:firstLine="0"/>
      </w:pPr>
      <w:rPr>
        <w:rFonts w:hint="eastAsia"/>
        <w:sz w:val="32"/>
        <w:szCs w:val="32"/>
        <w:lang w:val="en-US"/>
      </w:rPr>
    </w:lvl>
    <w:lvl w:ilvl="2" w:tentative="0">
      <w:start w:val="1"/>
      <w:numFmt w:val="decimal"/>
      <w:pStyle w:val="2"/>
      <w:isLgl/>
      <w:suff w:val="space"/>
      <w:lvlText w:val="%2.%3"/>
      <w:lvlJc w:val="left"/>
      <w:pPr>
        <w:ind w:left="284" w:firstLine="0"/>
      </w:pPr>
      <w:rPr>
        <w:rFonts w:hint="eastAsia"/>
      </w:rPr>
    </w:lvl>
    <w:lvl w:ilvl="3" w:tentative="0">
      <w:start w:val="1"/>
      <w:numFmt w:val="decimal"/>
      <w:suff w:val="space"/>
      <w:lvlText w:val="%2.%3.%4"/>
      <w:lvlJc w:val="left"/>
      <w:pPr>
        <w:ind w:left="0" w:firstLine="0"/>
      </w:pPr>
      <w:rPr>
        <w:rFonts w:hint="eastAsia" w:ascii="仿宋" w:hAnsi="仿宋" w:eastAsia="仿宋"/>
        <w:sz w:val="32"/>
        <w:szCs w:val="32"/>
      </w:rPr>
    </w:lvl>
    <w:lvl w:ilvl="4" w:tentative="0">
      <w:start w:val="1"/>
      <w:numFmt w:val="decimal"/>
      <w:suff w:val="nothing"/>
      <w:lvlText w:val="（%5）"/>
      <w:lvlJc w:val="left"/>
      <w:pPr>
        <w:ind w:left="0" w:firstLine="0"/>
      </w:pPr>
      <w:rPr>
        <w:rFonts w:hint="eastAsia"/>
        <w:lang w:val="en-US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227"/>
      </w:pPr>
      <w:rPr>
        <w:rFonts w:hint="default"/>
        <w:lang w:val="en-US"/>
      </w:rPr>
    </w:lvl>
    <w:lvl w:ilvl="6" w:tentative="0">
      <w:start w:val="1"/>
      <w:numFmt w:val="bullet"/>
      <w:suff w:val="space"/>
      <w:lvlText w:val=""/>
      <w:lvlJc w:val="left"/>
      <w:pPr>
        <w:ind w:left="0" w:firstLine="227"/>
      </w:pPr>
      <w:rPr>
        <w:rFonts w:hint="default" w:ascii="Symbol" w:hAnsi="Symbol"/>
        <w:color w:val="auto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FE"/>
    <w:rsid w:val="000608A0"/>
    <w:rsid w:val="00090F69"/>
    <w:rsid w:val="002A5CE1"/>
    <w:rsid w:val="002E2D3E"/>
    <w:rsid w:val="00305B72"/>
    <w:rsid w:val="00324C23"/>
    <w:rsid w:val="003360FE"/>
    <w:rsid w:val="00340CD0"/>
    <w:rsid w:val="003815D6"/>
    <w:rsid w:val="003F30A6"/>
    <w:rsid w:val="0040619A"/>
    <w:rsid w:val="004278B7"/>
    <w:rsid w:val="004C3F44"/>
    <w:rsid w:val="00510ECA"/>
    <w:rsid w:val="005628F2"/>
    <w:rsid w:val="0059790F"/>
    <w:rsid w:val="00615536"/>
    <w:rsid w:val="006A6A0F"/>
    <w:rsid w:val="007928BF"/>
    <w:rsid w:val="00820B65"/>
    <w:rsid w:val="008D0B09"/>
    <w:rsid w:val="00946DD1"/>
    <w:rsid w:val="00956535"/>
    <w:rsid w:val="009E30AB"/>
    <w:rsid w:val="009F2014"/>
    <w:rsid w:val="00A15FF5"/>
    <w:rsid w:val="00A20479"/>
    <w:rsid w:val="00C201F9"/>
    <w:rsid w:val="00C472A0"/>
    <w:rsid w:val="00D54316"/>
    <w:rsid w:val="00DF46CD"/>
    <w:rsid w:val="09F95771"/>
    <w:rsid w:val="23176025"/>
    <w:rsid w:val="411C36E0"/>
    <w:rsid w:val="644614B3"/>
    <w:rsid w:val="6A56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next w:val="1"/>
    <w:qFormat/>
    <w:uiPriority w:val="9"/>
    <w:pPr>
      <w:keepNext/>
      <w:keepLines/>
      <w:numPr>
        <w:ilvl w:val="2"/>
        <w:numId w:val="1"/>
      </w:numPr>
      <w:spacing w:before="156" w:beforeLines="50" w:after="156" w:afterLines="50" w:line="300" w:lineRule="auto"/>
      <w:outlineLvl w:val="2"/>
    </w:pPr>
    <w:rPr>
      <w:rFonts w:ascii="幼圆" w:hAnsi="Times New Roman" w:eastAsia="幼圆" w:cs="Times New Roman"/>
      <w:b/>
      <w:bCs/>
      <w:kern w:val="2"/>
      <w:sz w:val="28"/>
      <w:szCs w:val="3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657</Words>
  <Characters>767</Characters>
  <Lines>5</Lines>
  <Paragraphs>1</Paragraphs>
  <TotalTime>32</TotalTime>
  <ScaleCrop>false</ScaleCrop>
  <LinksUpToDate>false</LinksUpToDate>
  <CharactersWithSpaces>769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2017-03-20T01:33:00Z</dcterms:created>
  <dc:creator>XXH</dc:creator>
  <cp:lastModifiedBy>刘浩洲</cp:lastModifiedBy>
  <cp:lastPrinted>2017-03-20T02:35:00Z</cp:lastPrinted>
  <dcterms:modified xsi:type="dcterms:W3CDTF">2025-12-23T03:09:23Z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eyJoZGlkIjoiMTVhNWEyZGYzZTUyMTA0OWYxYmJiZWQ1Y2MyNzQyNGEiLCJ1c2VySWQiOiIyMzA1MTE3MTIifQ==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60C0B9841FDF4C909A9E573A92405EE4_13</vt:lpwstr>
  </property>
</Properties>
</file>