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CEE" w:rsidRDefault="00F55CEE">
      <w:pPr>
        <w:rPr>
          <w:rFonts w:ascii="黑体" w:eastAsia="黑体" w:hAnsi="黑体" w:cs="黑体"/>
          <w:sz w:val="44"/>
          <w:szCs w:val="44"/>
        </w:rPr>
      </w:pPr>
      <w:bookmarkStart w:id="0" w:name="_Toc18337"/>
      <w:bookmarkStart w:id="1" w:name="_Toc25534"/>
      <w:bookmarkStart w:id="2" w:name="_Toc2913"/>
      <w:bookmarkStart w:id="3" w:name="_Toc28577"/>
      <w:bookmarkStart w:id="4" w:name="_Toc17691"/>
      <w:bookmarkStart w:id="5" w:name="_Toc10504"/>
      <w:bookmarkStart w:id="6" w:name="_Toc18838"/>
      <w:bookmarkStart w:id="7" w:name="_Toc5362"/>
      <w:bookmarkStart w:id="8" w:name="_Toc12166"/>
      <w:bookmarkStart w:id="9" w:name="_Toc22234"/>
      <w:bookmarkStart w:id="10" w:name="_Toc19975"/>
      <w:bookmarkStart w:id="11" w:name="_Toc18148"/>
      <w:bookmarkStart w:id="12" w:name="_Toc17275"/>
      <w:bookmarkStart w:id="13" w:name="_Toc8402"/>
      <w:bookmarkStart w:id="14" w:name="_Toc22839"/>
      <w:bookmarkStart w:id="15" w:name="_Toc24458"/>
      <w:bookmarkStart w:id="16" w:name="_Toc6552"/>
    </w:p>
    <w:p w:rsidR="00F55CEE" w:rsidRDefault="00F55CEE">
      <w:pPr>
        <w:pStyle w:val="a0"/>
      </w:pPr>
    </w:p>
    <w:p w:rsidR="00F55CEE" w:rsidRDefault="00F55CEE">
      <w:pPr>
        <w:jc w:val="center"/>
        <w:rPr>
          <w:rFonts w:ascii="黑体" w:eastAsia="黑体" w:hAnsi="黑体" w:cs="黑体"/>
          <w:sz w:val="44"/>
          <w:szCs w:val="44"/>
        </w:rPr>
      </w:pPr>
    </w:p>
    <w:p w:rsidR="00F55CEE" w:rsidRDefault="00F55CEE">
      <w:pPr>
        <w:pStyle w:val="a0"/>
      </w:pPr>
    </w:p>
    <w:p w:rsidR="00F55CEE" w:rsidRDefault="001145CC">
      <w:pPr>
        <w:pStyle w:val="a0"/>
        <w:spacing w:after="0" w:line="720" w:lineRule="auto"/>
        <w:jc w:val="center"/>
        <w:rPr>
          <w:rFonts w:ascii="黑体" w:eastAsia="黑体" w:hAnsi="黑体" w:cs="黑体"/>
          <w:b/>
          <w:sz w:val="44"/>
          <w:szCs w:val="44"/>
        </w:rPr>
      </w:pPr>
      <w:r>
        <w:rPr>
          <w:rFonts w:ascii="黑体" w:eastAsia="黑体" w:hAnsi="黑体" w:cs="黑体" w:hint="eastAsia"/>
          <w:b/>
          <w:sz w:val="44"/>
          <w:szCs w:val="44"/>
        </w:rPr>
        <w:t>黎城县</w:t>
      </w:r>
      <w:r>
        <w:rPr>
          <w:rFonts w:ascii="黑体" w:eastAsia="黑体" w:hAnsi="黑体" w:cs="黑体" w:hint="eastAsia"/>
          <w:b/>
          <w:sz w:val="44"/>
          <w:szCs w:val="44"/>
        </w:rPr>
        <w:t>2020</w:t>
      </w:r>
      <w:r>
        <w:rPr>
          <w:rFonts w:ascii="黑体" w:eastAsia="黑体" w:hAnsi="黑体" w:cs="黑体" w:hint="eastAsia"/>
          <w:b/>
          <w:sz w:val="44"/>
          <w:szCs w:val="44"/>
        </w:rPr>
        <w:t>年三大板块旅游公路</w:t>
      </w:r>
      <w:r>
        <w:rPr>
          <w:rFonts w:ascii="黑体" w:eastAsia="黑体" w:hAnsi="黑体" w:cs="黑体" w:hint="eastAsia"/>
          <w:b/>
          <w:sz w:val="44"/>
          <w:szCs w:val="44"/>
        </w:rPr>
        <w:t xml:space="preserve">        </w:t>
      </w:r>
    </w:p>
    <w:p w:rsidR="00F55CEE" w:rsidRDefault="001145CC">
      <w:pPr>
        <w:pStyle w:val="a0"/>
        <w:spacing w:after="0" w:line="720" w:lineRule="auto"/>
        <w:jc w:val="center"/>
        <w:rPr>
          <w:rFonts w:ascii="黑体" w:eastAsia="黑体" w:hAnsi="黑体" w:cs="黑体"/>
          <w:b/>
          <w:sz w:val="44"/>
          <w:szCs w:val="44"/>
        </w:rPr>
      </w:pPr>
      <w:r>
        <w:rPr>
          <w:rFonts w:ascii="黑体" w:eastAsia="黑体" w:hAnsi="黑体" w:cs="黑体" w:hint="eastAsia"/>
          <w:b/>
          <w:sz w:val="44"/>
          <w:szCs w:val="44"/>
        </w:rPr>
        <w:t>建设资金项目</w:t>
      </w:r>
      <w:r>
        <w:rPr>
          <w:rFonts w:ascii="黑体" w:eastAsia="黑体" w:hAnsi="黑体" w:cs="黑体" w:hint="eastAsia"/>
          <w:b/>
          <w:sz w:val="44"/>
          <w:szCs w:val="44"/>
        </w:rPr>
        <w:t>绩效评价</w:t>
      </w:r>
      <w:r>
        <w:rPr>
          <w:rFonts w:ascii="黑体" w:eastAsia="黑体" w:hAnsi="黑体" w:cs="黑体" w:hint="eastAsia"/>
          <w:b/>
          <w:sz w:val="44"/>
          <w:szCs w:val="44"/>
        </w:rPr>
        <w:t>报告</w:t>
      </w:r>
    </w:p>
    <w:p w:rsidR="00F55CEE" w:rsidRDefault="00F55CEE">
      <w:pPr>
        <w:widowControl/>
        <w:shd w:val="clear" w:color="auto" w:fill="FFFFFF"/>
        <w:snapToGrid w:val="0"/>
        <w:spacing w:before="100" w:beforeAutospacing="1" w:after="100" w:afterAutospacing="1"/>
        <w:jc w:val="left"/>
        <w:rPr>
          <w:rFonts w:ascii="仿宋" w:eastAsia="仿宋" w:hAnsi="仿宋"/>
          <w:color w:val="000000"/>
          <w:sz w:val="32"/>
          <w:szCs w:val="32"/>
        </w:rPr>
      </w:pPr>
    </w:p>
    <w:p w:rsidR="00F55CEE" w:rsidRDefault="00F55CEE">
      <w:pPr>
        <w:widowControl/>
        <w:shd w:val="clear" w:color="auto" w:fill="FFFFFF"/>
        <w:snapToGrid w:val="0"/>
        <w:spacing w:before="100" w:beforeAutospacing="1" w:after="100" w:afterAutospacing="1"/>
        <w:jc w:val="left"/>
        <w:rPr>
          <w:rFonts w:ascii="仿宋" w:eastAsia="仿宋" w:hAnsi="仿宋"/>
          <w:color w:val="000000"/>
          <w:sz w:val="32"/>
          <w:szCs w:val="32"/>
        </w:rPr>
      </w:pPr>
    </w:p>
    <w:p w:rsidR="00F55CEE" w:rsidRDefault="00F55CEE">
      <w:pPr>
        <w:widowControl/>
        <w:shd w:val="clear" w:color="auto" w:fill="FFFFFF"/>
        <w:snapToGrid w:val="0"/>
        <w:spacing w:before="100" w:beforeAutospacing="1" w:after="100" w:afterAutospacing="1"/>
        <w:jc w:val="left"/>
        <w:rPr>
          <w:rFonts w:ascii="仿宋" w:eastAsia="仿宋" w:hAnsi="仿宋"/>
          <w:color w:val="000000"/>
          <w:sz w:val="32"/>
          <w:szCs w:val="32"/>
        </w:rPr>
      </w:pPr>
    </w:p>
    <w:p w:rsidR="00F55CEE" w:rsidRDefault="00F55CEE">
      <w:pPr>
        <w:pStyle w:val="a0"/>
        <w:rPr>
          <w:rFonts w:ascii="仿宋" w:eastAsia="仿宋" w:hAnsi="仿宋"/>
          <w:color w:val="000000"/>
          <w:sz w:val="32"/>
          <w:szCs w:val="32"/>
        </w:rPr>
      </w:pPr>
    </w:p>
    <w:p w:rsidR="00F55CEE" w:rsidRDefault="00F55CEE">
      <w:pPr>
        <w:pStyle w:val="a0"/>
        <w:rPr>
          <w:rFonts w:ascii="仿宋" w:eastAsia="仿宋" w:hAnsi="仿宋"/>
          <w:color w:val="000000"/>
          <w:sz w:val="32"/>
          <w:szCs w:val="32"/>
        </w:rPr>
      </w:pPr>
    </w:p>
    <w:p w:rsidR="00F55CEE" w:rsidRDefault="00F55CEE">
      <w:pPr>
        <w:pStyle w:val="a0"/>
        <w:rPr>
          <w:rFonts w:ascii="仿宋" w:eastAsia="仿宋" w:hAnsi="仿宋"/>
          <w:color w:val="000000"/>
          <w:sz w:val="32"/>
          <w:szCs w:val="32"/>
        </w:rPr>
      </w:pPr>
    </w:p>
    <w:p w:rsidR="00F55CEE" w:rsidRDefault="00F55CEE">
      <w:pPr>
        <w:pStyle w:val="a0"/>
        <w:rPr>
          <w:rFonts w:ascii="仿宋" w:eastAsia="仿宋" w:hAnsi="仿宋"/>
          <w:color w:val="000000"/>
          <w:sz w:val="32"/>
          <w:szCs w:val="32"/>
        </w:rPr>
      </w:pPr>
    </w:p>
    <w:p w:rsidR="00F55CEE" w:rsidRDefault="00F55CEE">
      <w:pPr>
        <w:pStyle w:val="a0"/>
        <w:rPr>
          <w:rFonts w:ascii="仿宋" w:eastAsia="仿宋" w:hAnsi="仿宋"/>
          <w:color w:val="000000"/>
          <w:sz w:val="32"/>
          <w:szCs w:val="32"/>
        </w:rPr>
      </w:pPr>
    </w:p>
    <w:p w:rsidR="00F55CEE" w:rsidRDefault="001145CC">
      <w:pPr>
        <w:widowControl/>
        <w:shd w:val="clear" w:color="auto" w:fill="FFFFFF"/>
        <w:snapToGrid w:val="0"/>
        <w:spacing w:before="100" w:beforeAutospacing="1" w:after="100" w:afterAutospacing="1" w:line="400" w:lineRule="exact"/>
        <w:jc w:val="center"/>
        <w:rPr>
          <w:rFonts w:ascii="黑体" w:eastAsia="黑体" w:hAnsi="黑体" w:cs="黑体"/>
          <w:b/>
          <w:sz w:val="32"/>
          <w:szCs w:val="32"/>
        </w:rPr>
      </w:pPr>
      <w:r>
        <w:rPr>
          <w:rFonts w:ascii="黑体" w:eastAsia="黑体" w:hAnsi="黑体" w:cs="黑体" w:hint="eastAsia"/>
          <w:b/>
          <w:sz w:val="32"/>
          <w:szCs w:val="32"/>
        </w:rPr>
        <w:t>长治</w:t>
      </w:r>
      <w:r>
        <w:rPr>
          <w:rFonts w:ascii="黑体" w:eastAsia="黑体" w:hAnsi="黑体" w:cs="黑体" w:hint="eastAsia"/>
          <w:b/>
          <w:sz w:val="32"/>
          <w:szCs w:val="32"/>
        </w:rPr>
        <w:t>**</w:t>
      </w:r>
      <w:r>
        <w:rPr>
          <w:rFonts w:ascii="黑体" w:eastAsia="黑体" w:hAnsi="黑体" w:cs="黑体" w:hint="eastAsia"/>
          <w:b/>
          <w:sz w:val="32"/>
          <w:szCs w:val="32"/>
        </w:rPr>
        <w:t>会计师事务所有限公司</w:t>
      </w:r>
    </w:p>
    <w:p w:rsidR="00F55CEE" w:rsidRDefault="00F55CEE">
      <w:pPr>
        <w:pStyle w:val="a0"/>
        <w:jc w:val="center"/>
        <w:rPr>
          <w:rFonts w:ascii="黑体" w:eastAsia="黑体" w:hAnsi="黑体" w:cs="黑体"/>
          <w:b/>
          <w:kern w:val="0"/>
          <w:sz w:val="32"/>
          <w:szCs w:val="32"/>
        </w:rPr>
      </w:pPr>
    </w:p>
    <w:p w:rsidR="00F55CEE" w:rsidRDefault="001145CC">
      <w:pPr>
        <w:pStyle w:val="a0"/>
        <w:jc w:val="center"/>
        <w:rPr>
          <w:rFonts w:ascii="黑体" w:eastAsia="黑体" w:hAnsi="黑体" w:cs="黑体"/>
          <w:b/>
          <w:sz w:val="32"/>
          <w:szCs w:val="32"/>
        </w:rPr>
      </w:pPr>
      <w:r>
        <w:rPr>
          <w:rFonts w:ascii="黑体" w:eastAsia="黑体" w:hAnsi="黑体" w:cs="黑体" w:hint="eastAsia"/>
          <w:b/>
          <w:sz w:val="32"/>
          <w:szCs w:val="32"/>
        </w:rPr>
        <w:t>二〇二一年</w:t>
      </w:r>
      <w:r w:rsidR="00DC5F81">
        <w:rPr>
          <w:rFonts w:eastAsia="黑体" w:hint="eastAsia"/>
          <w:b/>
          <w:bCs/>
          <w:sz w:val="32"/>
          <w:szCs w:val="32"/>
        </w:rPr>
        <w:t>八</w:t>
      </w:r>
      <w:r>
        <w:rPr>
          <w:rFonts w:ascii="黑体" w:eastAsia="黑体" w:hAnsi="黑体" w:cs="黑体" w:hint="eastAsia"/>
          <w:b/>
          <w:sz w:val="32"/>
          <w:szCs w:val="32"/>
        </w:rPr>
        <w:t>月</w:t>
      </w:r>
    </w:p>
    <w:p w:rsidR="00F55CEE" w:rsidRDefault="00F55CEE">
      <w:pPr>
        <w:pStyle w:val="a0"/>
        <w:jc w:val="center"/>
        <w:rPr>
          <w:rFonts w:ascii="黑体" w:eastAsia="黑体" w:hAnsi="黑体" w:cs="黑体"/>
          <w:b/>
          <w:sz w:val="32"/>
          <w:szCs w:val="32"/>
        </w:rPr>
        <w:sectPr w:rsidR="00F55CEE">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134" w:left="1701" w:header="1474" w:footer="851" w:gutter="0"/>
          <w:pgNumType w:start="1"/>
          <w:cols w:space="720"/>
          <w:titlePg/>
          <w:docGrid w:type="linesAndChars" w:linePitch="312" w:charSpace="2048"/>
        </w:sect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F55CEE">
      <w:pPr>
        <w:pStyle w:val="a0"/>
        <w:jc w:val="center"/>
        <w:rPr>
          <w:rFonts w:ascii="黑体" w:eastAsia="黑体" w:hAnsi="黑体" w:cs="黑体"/>
          <w:b/>
          <w:sz w:val="32"/>
          <w:szCs w:val="32"/>
        </w:rPr>
      </w:pPr>
    </w:p>
    <w:p w:rsidR="00F55CEE" w:rsidRDefault="001145CC">
      <w:pPr>
        <w:ind w:leftChars="500" w:left="110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主管部门</w:t>
      </w:r>
      <w:r>
        <w:rPr>
          <w:rFonts w:ascii="方正小标宋_GBK" w:eastAsia="方正小标宋_GBK" w:hAnsi="方正小标宋简体" w:cs="方正小标宋简体" w:hint="eastAsia"/>
          <w:bCs/>
          <w:sz w:val="32"/>
          <w:szCs w:val="32"/>
        </w:rPr>
        <w:t>：</w:t>
      </w:r>
      <w:r>
        <w:rPr>
          <w:rFonts w:ascii="方正小标宋_GBK" w:eastAsia="方正小标宋_GBK" w:hAnsi="方正小标宋简体" w:cs="方正小标宋简体" w:hint="eastAsia"/>
          <w:bCs/>
          <w:sz w:val="32"/>
          <w:szCs w:val="32"/>
        </w:rPr>
        <w:t>黎城县交通运输局</w:t>
      </w:r>
    </w:p>
    <w:p w:rsidR="00F55CEE" w:rsidRDefault="001145CC">
      <w:pPr>
        <w:ind w:leftChars="500" w:left="110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实施</w:t>
      </w:r>
      <w:r>
        <w:rPr>
          <w:rFonts w:ascii="方正小标宋_GBK" w:eastAsia="方正小标宋_GBK" w:hAnsi="方正小标宋简体" w:cs="方正小标宋简体" w:hint="eastAsia"/>
          <w:bCs/>
          <w:sz w:val="32"/>
          <w:szCs w:val="32"/>
        </w:rPr>
        <w:t>单位：</w:t>
      </w:r>
      <w:r>
        <w:rPr>
          <w:rFonts w:ascii="方正小标宋_GBK" w:eastAsia="方正小标宋_GBK" w:hAnsi="方正小标宋简体" w:cs="方正小标宋简体" w:hint="eastAsia"/>
          <w:bCs/>
          <w:sz w:val="32"/>
          <w:szCs w:val="32"/>
        </w:rPr>
        <w:t>黎城县交通运输局</w:t>
      </w:r>
    </w:p>
    <w:p w:rsidR="00F55CEE" w:rsidRDefault="001145CC">
      <w:pPr>
        <w:ind w:leftChars="500" w:left="110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委托单位：</w:t>
      </w:r>
      <w:r>
        <w:rPr>
          <w:rFonts w:ascii="方正小标宋_GBK" w:eastAsia="方正小标宋_GBK" w:hAnsi="方正小标宋简体" w:cs="方正小标宋简体" w:hint="eastAsia"/>
          <w:bCs/>
          <w:sz w:val="32"/>
          <w:szCs w:val="32"/>
        </w:rPr>
        <w:t>黎城县财政局</w:t>
      </w:r>
    </w:p>
    <w:p w:rsidR="00F55CEE" w:rsidRDefault="001145CC">
      <w:pPr>
        <w:ind w:leftChars="500" w:left="110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评价机构：长治</w:t>
      </w:r>
      <w:r>
        <w:rPr>
          <w:rFonts w:ascii="方正小标宋_GBK" w:eastAsia="方正小标宋_GBK" w:hAnsi="方正小标宋简体" w:cs="方正小标宋简体" w:hint="eastAsia"/>
          <w:bCs/>
          <w:sz w:val="32"/>
          <w:szCs w:val="32"/>
        </w:rPr>
        <w:t>**</w:t>
      </w:r>
      <w:r>
        <w:rPr>
          <w:rFonts w:ascii="方正小标宋_GBK" w:eastAsia="方正小标宋_GBK" w:hAnsi="方正小标宋简体" w:cs="方正小标宋简体" w:hint="eastAsia"/>
          <w:bCs/>
          <w:sz w:val="32"/>
          <w:szCs w:val="32"/>
        </w:rPr>
        <w:t>会计师事务所有限公司</w:t>
      </w:r>
    </w:p>
    <w:p w:rsidR="00F55CEE" w:rsidRDefault="00F55CEE" w:rsidP="00DC5F81">
      <w:pPr>
        <w:spacing w:beforeLines="100"/>
        <w:ind w:leftChars="500" w:left="1100"/>
        <w:jc w:val="left"/>
        <w:rPr>
          <w:rFonts w:ascii="方正小标宋_GBK" w:eastAsia="方正小标宋_GBK" w:hAnsi="方正小标宋简体" w:cs="方正小标宋简体"/>
          <w:bCs/>
          <w:sz w:val="32"/>
          <w:szCs w:val="32"/>
        </w:rPr>
        <w:sectPr w:rsidR="00F55CEE">
          <w:headerReference w:type="first" r:id="rId14"/>
          <w:pgSz w:w="11907" w:h="16840"/>
          <w:pgMar w:top="1418" w:right="1418" w:bottom="1134" w:left="1701" w:header="851" w:footer="851" w:gutter="0"/>
          <w:pgNumType w:start="1"/>
          <w:cols w:space="720"/>
          <w:titlePg/>
          <w:docGrid w:type="linesAndChars" w:linePitch="312" w:charSpace="2048"/>
        </w:sectPr>
      </w:pPr>
    </w:p>
    <w:p w:rsidR="00F55CEE" w:rsidRDefault="001145CC">
      <w:pPr>
        <w:spacing w:line="360" w:lineRule="auto"/>
        <w:jc w:val="center"/>
        <w:outlineLvl w:val="0"/>
        <w:rPr>
          <w:rFonts w:ascii="仿宋_GB2312" w:eastAsia="仿宋_GB2312" w:hAnsi="仿宋_GB2312" w:cs="仿宋_GB2312"/>
          <w:b/>
          <w:bCs/>
          <w:sz w:val="36"/>
          <w:szCs w:val="36"/>
        </w:rPr>
      </w:pPr>
      <w:bookmarkStart w:id="17" w:name="_Toc26055"/>
      <w:bookmarkStart w:id="18" w:name="_Toc17141"/>
      <w:bookmarkStart w:id="19" w:name="_Toc13987"/>
      <w:bookmarkStart w:id="20" w:name="_Toc3157"/>
      <w:bookmarkStart w:id="21" w:name="_Toc27251"/>
      <w:r>
        <w:rPr>
          <w:rFonts w:ascii="黑体" w:eastAsia="黑体" w:hAnsi="黑体" w:cs="黑体" w:hint="eastAsia"/>
          <w:b/>
          <w:bCs/>
          <w:sz w:val="36"/>
          <w:szCs w:val="36"/>
        </w:rPr>
        <w:lastRenderedPageBreak/>
        <w:t>摘</w:t>
      </w:r>
      <w:r>
        <w:rPr>
          <w:rFonts w:ascii="黑体" w:eastAsia="黑体" w:hAnsi="黑体" w:cs="黑体" w:hint="eastAsia"/>
          <w:b/>
          <w:bCs/>
          <w:sz w:val="36"/>
          <w:szCs w:val="36"/>
        </w:rPr>
        <w:t xml:space="preserve">  </w:t>
      </w:r>
      <w:r>
        <w:rPr>
          <w:rFonts w:ascii="黑体" w:eastAsia="黑体" w:hAnsi="黑体" w:cs="黑体" w:hint="eastAsia"/>
          <w:b/>
          <w:bCs/>
          <w:sz w:val="36"/>
          <w:szCs w:val="36"/>
        </w:rPr>
        <w:t>要</w:t>
      </w:r>
      <w:bookmarkEnd w:id="17"/>
      <w:bookmarkEnd w:id="18"/>
      <w:bookmarkEnd w:id="19"/>
      <w:bookmarkEnd w:id="20"/>
      <w:bookmarkEnd w:id="21"/>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根据国家十三五规划，提高旅游公路和农村公路等级，是实现全面脱贫致富，全面奔小康的重要途径。通过路网的相互连接和完善，可以有效对提高干线公路的通达深度，充分发挥路网整体效益的促进作用。</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大板块旅游公路直接经过长治市黎城县，历史悠久，山川秀美，境内旅游资源非常丰富。但土地贫瘠，土地资源贫乏，地方人民总体富裕水平不高，交通落后是阻碍该地区发展的主要因素。三大板块旅游公路的建设可形成“快进”、“慢游”旅游交通网络，对于促进山西省交通运输与旅游业转型升级，完成脱贫攻坚，培育经济发展新动能等都具有重要的意义。</w:t>
      </w:r>
    </w:p>
    <w:p w:rsidR="00F55CEE" w:rsidRDefault="001145CC">
      <w:pPr>
        <w:pStyle w:val="a0"/>
        <w:spacing w:after="0" w:line="360" w:lineRule="auto"/>
        <w:ind w:firstLineChars="200" w:firstLine="560"/>
        <w:rPr>
          <w:rFonts w:ascii="仿宋_GB2312" w:eastAsia="仿宋_GB2312" w:hAnsi="仿宋_GB2312" w:cs="仿宋_GB2312"/>
          <w:sz w:val="28"/>
          <w:szCs w:val="28"/>
          <w:highlight w:val="lightGray"/>
        </w:rPr>
      </w:pPr>
      <w:r>
        <w:rPr>
          <w:rFonts w:ascii="仿宋_GB2312" w:eastAsia="仿宋_GB2312" w:hAnsi="仿宋_GB2312" w:cs="仿宋_GB2312" w:hint="eastAsia"/>
          <w:sz w:val="28"/>
          <w:szCs w:val="28"/>
        </w:rPr>
        <w:t>黎城县位于太行山腹地，境内自然风光独特，是革命旧址和生态旅游大县，黎城县上遥镇拥有独特的红色革命、天然奇特观、民俗生态等旅游资源。具有代表性的革命遗址和风景区：左权麻田八路军前方指挥部旧址、涉县八路军</w:t>
      </w:r>
      <w:r>
        <w:rPr>
          <w:rFonts w:ascii="仿宋_GB2312" w:eastAsia="仿宋_GB2312" w:hAnsi="仿宋_GB2312" w:cs="仿宋_GB2312" w:hint="eastAsia"/>
          <w:sz w:val="28"/>
          <w:szCs w:val="28"/>
        </w:rPr>
        <w:t>129</w:t>
      </w:r>
      <w:r>
        <w:rPr>
          <w:rFonts w:ascii="仿宋_GB2312" w:eastAsia="仿宋_GB2312" w:hAnsi="仿宋_GB2312" w:cs="仿宋_GB2312" w:hint="eastAsia"/>
          <w:sz w:val="28"/>
          <w:szCs w:val="28"/>
        </w:rPr>
        <w:t>师部旧址、杨岐山景区、龙洞景区等。三大板块旅游公路建设资金项目是连接黎城县众多旅游景点的重要通道，整合了黎城县东部丰富的旅游资源，形成以左权麻田八路军前方指挥部旧址、涉县八路军</w:t>
      </w:r>
      <w:r>
        <w:rPr>
          <w:rFonts w:ascii="仿宋_GB2312" w:eastAsia="仿宋_GB2312" w:hAnsi="仿宋_GB2312" w:cs="仿宋_GB2312" w:hint="eastAsia"/>
          <w:sz w:val="28"/>
          <w:szCs w:val="28"/>
        </w:rPr>
        <w:t>129</w:t>
      </w:r>
      <w:r>
        <w:rPr>
          <w:rFonts w:ascii="仿宋_GB2312" w:eastAsia="仿宋_GB2312" w:hAnsi="仿宋_GB2312" w:cs="仿宋_GB2312" w:hint="eastAsia"/>
          <w:sz w:val="28"/>
          <w:szCs w:val="28"/>
        </w:rPr>
        <w:t>师部旧址、杨岐山景区、仙堂寺景区、广志山景区、龙洞景区以及众多的历史文物遗址构成的放射性旅游资源格局，为沿线及周边地区旅游经</w:t>
      </w:r>
      <w:r>
        <w:rPr>
          <w:rFonts w:ascii="仿宋_GB2312" w:eastAsia="仿宋_GB2312" w:hAnsi="仿宋_GB2312" w:cs="仿宋_GB2312" w:hint="eastAsia"/>
          <w:sz w:val="28"/>
          <w:szCs w:val="28"/>
        </w:rPr>
        <w:t>济的发展起到重大作用。</w:t>
      </w:r>
    </w:p>
    <w:p w:rsidR="00F55CEE" w:rsidRDefault="001145CC">
      <w:pPr>
        <w:pStyle w:val="a0"/>
        <w:spacing w:line="360" w:lineRule="auto"/>
        <w:ind w:firstLineChars="200" w:firstLine="620"/>
        <w:jc w:val="left"/>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黎城县三大板块旅游公路实际建设路段主要包括：港东</w:t>
      </w: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白岩寺段、北泉寨</w:t>
      </w: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后家滩段、杨家庄</w:t>
      </w: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龙洞第一期、西井</w:t>
      </w: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板</w:t>
      </w:r>
      <w:r>
        <w:rPr>
          <w:rFonts w:ascii="仿宋_GB2312" w:eastAsia="仿宋_GB2312" w:hAnsi="仿宋_GB2312" w:cs="仿宋_GB2312" w:hint="eastAsia"/>
          <w:spacing w:val="15"/>
          <w:sz w:val="28"/>
          <w:szCs w:val="28"/>
        </w:rPr>
        <w:lastRenderedPageBreak/>
        <w:t>山段，该项目本次绩效评价的是</w:t>
      </w:r>
      <w:r>
        <w:rPr>
          <w:rFonts w:ascii="仿宋_GB2312" w:eastAsia="仿宋_GB2312" w:hAnsi="仿宋_GB2312" w:cs="仿宋_GB2312" w:hint="eastAsia"/>
          <w:spacing w:val="15"/>
          <w:sz w:val="28"/>
          <w:szCs w:val="28"/>
        </w:rPr>
        <w:t>2020</w:t>
      </w:r>
      <w:r>
        <w:rPr>
          <w:rFonts w:ascii="仿宋_GB2312" w:eastAsia="仿宋_GB2312" w:hAnsi="仿宋_GB2312" w:cs="仿宋_GB2312" w:hint="eastAsia"/>
          <w:spacing w:val="15"/>
          <w:sz w:val="28"/>
          <w:szCs w:val="28"/>
        </w:rPr>
        <w:t>年省市拨付资金</w:t>
      </w:r>
      <w:r>
        <w:rPr>
          <w:rFonts w:ascii="仿宋_GB2312" w:eastAsia="仿宋_GB2312" w:hAnsi="仿宋_GB2312" w:cs="仿宋_GB2312" w:hint="eastAsia"/>
          <w:spacing w:val="15"/>
          <w:sz w:val="28"/>
          <w:szCs w:val="28"/>
        </w:rPr>
        <w:t>4368</w:t>
      </w:r>
      <w:r>
        <w:rPr>
          <w:rFonts w:ascii="仿宋_GB2312" w:eastAsia="仿宋_GB2312" w:hAnsi="仿宋_GB2312" w:cs="仿宋_GB2312" w:hint="eastAsia"/>
          <w:spacing w:val="15"/>
          <w:sz w:val="28"/>
          <w:szCs w:val="28"/>
        </w:rPr>
        <w:t>万元，目前款项已全部拨入黎城县交通运输局账户。</w:t>
      </w:r>
    </w:p>
    <w:p w:rsidR="00F55CEE" w:rsidRDefault="001145CC">
      <w:pPr>
        <w:pStyle w:val="a0"/>
        <w:spacing w:line="360" w:lineRule="auto"/>
        <w:jc w:val="center"/>
        <w:rPr>
          <w:rFonts w:ascii="楷体_GB2312" w:eastAsia="楷体_GB2312" w:hAnsi="楷体_GB2312" w:cs="楷体_GB2312"/>
          <w:bCs/>
          <w:color w:val="000000"/>
          <w:kern w:val="0"/>
          <w:sz w:val="24"/>
        </w:rPr>
      </w:pPr>
      <w:r>
        <w:rPr>
          <w:rFonts w:ascii="仿宋_GB2312" w:eastAsia="仿宋_GB2312" w:hAnsi="仿宋_GB2312" w:cs="仿宋_GB2312" w:hint="eastAsia"/>
          <w:spacing w:val="15"/>
          <w:sz w:val="28"/>
          <w:szCs w:val="28"/>
        </w:rPr>
        <w:t>该目</w:t>
      </w:r>
      <w:r>
        <w:rPr>
          <w:rFonts w:ascii="仿宋_GB2312" w:eastAsia="仿宋_GB2312" w:hAnsi="仿宋_GB2312" w:cs="仿宋_GB2312" w:hint="eastAsia"/>
          <w:sz w:val="28"/>
          <w:szCs w:val="28"/>
        </w:rPr>
        <w:t>得</w:t>
      </w:r>
      <w:r>
        <w:rPr>
          <w:rFonts w:ascii="仿宋_GB2312" w:eastAsia="仿宋_GB2312" w:hAnsi="仿宋_GB2312" w:cs="仿宋_GB2312" w:hint="eastAsia"/>
          <w:sz w:val="28"/>
          <w:szCs w:val="28"/>
        </w:rPr>
        <w:t>80</w:t>
      </w:r>
      <w:r>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依据评分标准，该项目评价等级为“良”</w:t>
      </w:r>
    </w:p>
    <w:tbl>
      <w:tblPr>
        <w:tblW w:w="8336" w:type="dxa"/>
        <w:jc w:val="center"/>
        <w:tblLayout w:type="fixed"/>
        <w:tblCellMar>
          <w:top w:w="15" w:type="dxa"/>
          <w:left w:w="15" w:type="dxa"/>
          <w:bottom w:w="15" w:type="dxa"/>
          <w:right w:w="15" w:type="dxa"/>
        </w:tblCellMar>
        <w:tblLook w:val="04A0"/>
      </w:tblPr>
      <w:tblGrid>
        <w:gridCol w:w="1450"/>
        <w:gridCol w:w="1399"/>
        <w:gridCol w:w="1334"/>
        <w:gridCol w:w="1386"/>
        <w:gridCol w:w="1383"/>
        <w:gridCol w:w="1384"/>
      </w:tblGrid>
      <w:tr w:rsidR="00F55CEE">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指标</w:t>
            </w:r>
          </w:p>
        </w:tc>
        <w:tc>
          <w:tcPr>
            <w:tcW w:w="13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决策</w:t>
            </w:r>
          </w:p>
        </w:tc>
        <w:tc>
          <w:tcPr>
            <w:tcW w:w="13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过程</w:t>
            </w:r>
          </w:p>
        </w:tc>
        <w:tc>
          <w:tcPr>
            <w:tcW w:w="13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产出</w:t>
            </w:r>
          </w:p>
        </w:tc>
        <w:tc>
          <w:tcPr>
            <w:tcW w:w="13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效益</w:t>
            </w:r>
          </w:p>
        </w:tc>
        <w:tc>
          <w:tcPr>
            <w:tcW w:w="13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合计</w:t>
            </w:r>
          </w:p>
        </w:tc>
      </w:tr>
      <w:tr w:rsidR="00F55CEE">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权重</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100.00</w:t>
            </w:r>
          </w:p>
        </w:tc>
      </w:tr>
      <w:tr w:rsidR="00F55CEE">
        <w:trPr>
          <w:trHeight w:val="454"/>
          <w:jc w:val="center"/>
        </w:trPr>
        <w:tc>
          <w:tcPr>
            <w:tcW w:w="1450"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得分</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20.00</w:t>
            </w:r>
          </w:p>
        </w:tc>
        <w:tc>
          <w:tcPr>
            <w:tcW w:w="1334"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21.00</w:t>
            </w:r>
          </w:p>
        </w:tc>
        <w:tc>
          <w:tcPr>
            <w:tcW w:w="1386"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16.00</w:t>
            </w:r>
          </w:p>
        </w:tc>
        <w:tc>
          <w:tcPr>
            <w:tcW w:w="1383"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23.00</w:t>
            </w:r>
          </w:p>
        </w:tc>
        <w:tc>
          <w:tcPr>
            <w:tcW w:w="1384"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80.00</w:t>
            </w:r>
          </w:p>
        </w:tc>
      </w:tr>
      <w:tr w:rsidR="00F55CEE">
        <w:trPr>
          <w:trHeight w:val="454"/>
          <w:jc w:val="center"/>
        </w:trPr>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得分率</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80.00</w:t>
            </w:r>
            <w:r>
              <w:rPr>
                <w:rFonts w:ascii="楷体_GB2312" w:eastAsia="楷体_GB2312" w:hAnsi="宋体" w:cs="宋体" w:hint="eastAsia"/>
                <w:b/>
                <w:kern w:val="0"/>
                <w:sz w:val="20"/>
                <w:szCs w:val="20"/>
                <w:lang w:eastAsia="zh-TW"/>
              </w:rPr>
              <w:t>%</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84.00</w:t>
            </w:r>
            <w:r>
              <w:rPr>
                <w:rFonts w:ascii="楷体_GB2312" w:eastAsia="楷体_GB2312" w:hAnsi="宋体" w:cs="宋体" w:hint="eastAsia"/>
                <w:b/>
                <w:kern w:val="0"/>
                <w:sz w:val="20"/>
                <w:szCs w:val="20"/>
                <w:lang w:eastAsia="zh-TW"/>
              </w:rPr>
              <w:t>%</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64.00%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92.00%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80.00%</w:t>
            </w:r>
          </w:p>
        </w:tc>
      </w:tr>
    </w:tbl>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项目的主要经验有：</w:t>
      </w:r>
      <w:r>
        <w:rPr>
          <w:rFonts w:ascii="仿宋_GB2312" w:eastAsia="仿宋_GB2312" w:hAnsi="仿宋_GB2312" w:cs="仿宋_GB2312" w:hint="eastAsia"/>
          <w:sz w:val="28"/>
          <w:szCs w:val="28"/>
        </w:rPr>
        <w:t>建立健全的档案管理制度；</w:t>
      </w:r>
      <w:r>
        <w:rPr>
          <w:rFonts w:ascii="仿宋_GB2312" w:eastAsia="仿宋_GB2312" w:hAnsi="仿宋_GB2312" w:cs="仿宋_GB2312" w:hint="eastAsia"/>
          <w:sz w:val="28"/>
          <w:szCs w:val="28"/>
        </w:rPr>
        <w:t>项目财务操作规范、财务管理制度健全</w:t>
      </w:r>
      <w:r>
        <w:rPr>
          <w:rFonts w:ascii="仿宋_GB2312" w:eastAsia="仿宋_GB2312" w:hAnsi="仿宋_GB2312" w:cs="仿宋_GB2312" w:hint="eastAsia"/>
          <w:sz w:val="28"/>
          <w:szCs w:val="28"/>
        </w:rPr>
        <w:t>。</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该项目主要存在的问题为：项目单位</w:t>
      </w:r>
      <w:r>
        <w:rPr>
          <w:rFonts w:ascii="仿宋_GB2312" w:eastAsia="仿宋_GB2312" w:hAnsi="仿宋_GB2312" w:cs="仿宋_GB2312" w:hint="eastAsia"/>
          <w:sz w:val="28"/>
          <w:szCs w:val="28"/>
        </w:rPr>
        <w:t>绩效考核意识薄弱，未按规定申报绩效目标</w:t>
      </w:r>
      <w:r>
        <w:rPr>
          <w:rFonts w:ascii="仿宋_GB2312" w:eastAsia="仿宋_GB2312" w:hAnsi="仿宋_GB2312" w:cs="仿宋_GB2312" w:hint="eastAsia"/>
          <w:sz w:val="28"/>
          <w:szCs w:val="28"/>
        </w:rPr>
        <w:t>；项目资金使用率低；工程实施进度缓慢、验收不及时。</w:t>
      </w:r>
    </w:p>
    <w:p w:rsidR="00F55CEE" w:rsidRDefault="001145CC">
      <w:pPr>
        <w:pStyle w:val="a0"/>
        <w:spacing w:after="0" w:line="360" w:lineRule="auto"/>
        <w:ind w:firstLineChars="200" w:firstLine="560"/>
        <w:rPr>
          <w:rFonts w:ascii="黑体" w:eastAsia="黑体" w:hAnsi="黑体" w:cs="黑体"/>
          <w:b/>
          <w:kern w:val="0"/>
          <w:sz w:val="36"/>
          <w:szCs w:val="36"/>
        </w:rPr>
      </w:pPr>
      <w:r>
        <w:rPr>
          <w:rFonts w:ascii="仿宋_GB2312" w:eastAsia="仿宋_GB2312" w:hAnsi="仿宋_GB2312" w:cs="仿宋_GB2312" w:hint="eastAsia"/>
          <w:sz w:val="28"/>
          <w:szCs w:val="28"/>
        </w:rPr>
        <w:t>针对问题提出意见，建议三大板块旅游公路建设项目根据县财政局要求申报项目绩效，按要求保质保量的完成施工进度；严格预算执行，强化预算监督管理，提高项目资金的使用效率；加强日常工作管理，严格按照工程进度推进。</w:t>
      </w:r>
    </w:p>
    <w:p w:rsidR="00F55CEE" w:rsidRDefault="00F55CEE">
      <w:pPr>
        <w:pStyle w:val="a0"/>
        <w:rPr>
          <w:rFonts w:ascii="黑体" w:eastAsia="黑体" w:hAnsi="黑体" w:cs="黑体"/>
          <w:b/>
          <w:kern w:val="0"/>
          <w:sz w:val="36"/>
          <w:szCs w:val="36"/>
        </w:rPr>
      </w:pPr>
    </w:p>
    <w:p w:rsidR="00F55CEE" w:rsidRDefault="00F55CEE">
      <w:pPr>
        <w:pStyle w:val="a0"/>
        <w:jc w:val="center"/>
        <w:rPr>
          <w:rFonts w:ascii="黑体" w:eastAsia="黑体" w:hAnsi="黑体" w:cs="黑体"/>
          <w:b/>
          <w:kern w:val="0"/>
          <w:sz w:val="36"/>
          <w:szCs w:val="36"/>
        </w:rPr>
        <w:sectPr w:rsidR="00F55CEE">
          <w:headerReference w:type="default" r:id="rId15"/>
          <w:footerReference w:type="default" r:id="rId16"/>
          <w:headerReference w:type="first" r:id="rId17"/>
          <w:footerReference w:type="first" r:id="rId18"/>
          <w:pgSz w:w="11906" w:h="16838"/>
          <w:pgMar w:top="1440" w:right="1800" w:bottom="1440" w:left="1800" w:header="907" w:footer="964" w:gutter="0"/>
          <w:pgNumType w:start="1"/>
          <w:cols w:space="425"/>
          <w:titlePg/>
          <w:docGrid w:type="lines" w:linePitch="312"/>
        </w:sectPr>
      </w:pPr>
    </w:p>
    <w:p w:rsidR="00F55CEE" w:rsidRDefault="001145CC">
      <w:pPr>
        <w:pStyle w:val="a0"/>
        <w:jc w:val="center"/>
        <w:rPr>
          <w:rFonts w:ascii="黑体" w:eastAsia="黑体" w:hAnsi="黑体" w:cs="黑体"/>
          <w:bCs/>
          <w:kern w:val="0"/>
          <w:sz w:val="36"/>
          <w:szCs w:val="36"/>
        </w:rPr>
      </w:pPr>
      <w:r>
        <w:rPr>
          <w:rFonts w:ascii="黑体" w:eastAsia="黑体" w:hAnsi="黑体" w:cs="黑体" w:hint="eastAsia"/>
          <w:b/>
          <w:kern w:val="0"/>
          <w:sz w:val="36"/>
          <w:szCs w:val="36"/>
        </w:rPr>
        <w:lastRenderedPageBreak/>
        <w:t>目</w:t>
      </w:r>
      <w:r>
        <w:rPr>
          <w:rFonts w:ascii="黑体" w:eastAsia="黑体" w:hAnsi="黑体" w:cs="黑体" w:hint="eastAsia"/>
          <w:b/>
          <w:kern w:val="0"/>
          <w:sz w:val="36"/>
          <w:szCs w:val="36"/>
        </w:rPr>
        <w:t xml:space="preserve">  </w:t>
      </w:r>
      <w:r>
        <w:rPr>
          <w:rFonts w:ascii="黑体" w:eastAsia="黑体" w:hAnsi="黑体" w:cs="黑体" w:hint="eastAsia"/>
          <w:b/>
          <w:kern w:val="0"/>
          <w:sz w:val="36"/>
          <w:szCs w:val="36"/>
        </w:rPr>
        <w:t>录</w:t>
      </w:r>
    </w:p>
    <w:p w:rsidR="00F55CEE" w:rsidRDefault="00F55CEE">
      <w:pPr>
        <w:pStyle w:val="10"/>
        <w:tabs>
          <w:tab w:val="right" w:leader="dot" w:pos="8306"/>
        </w:tabs>
        <w:spacing w:line="500" w:lineRule="exact"/>
        <w:rPr>
          <w:rFonts w:ascii="仿宋_GB2312" w:eastAsia="仿宋_GB2312" w:hAnsi="仿宋_GB2312" w:cs="仿宋_GB2312"/>
          <w:sz w:val="28"/>
          <w:szCs w:val="40"/>
        </w:rPr>
      </w:pPr>
      <w:r w:rsidRPr="00F55CEE">
        <w:rPr>
          <w:rFonts w:ascii="方正小标宋_GBK" w:eastAsia="方正小标宋_GBK" w:hAnsi="黑体" w:cs="黑体" w:hint="eastAsia"/>
          <w:bCs/>
          <w:color w:val="000000"/>
          <w:sz w:val="28"/>
          <w:szCs w:val="28"/>
        </w:rPr>
        <w:fldChar w:fldCharType="begin"/>
      </w:r>
      <w:r w:rsidR="001145CC">
        <w:rPr>
          <w:rFonts w:ascii="方正小标宋_GBK" w:eastAsia="方正小标宋_GBK" w:hAnsi="黑体" w:cs="黑体" w:hint="eastAsia"/>
          <w:bCs/>
          <w:color w:val="000000"/>
          <w:sz w:val="28"/>
          <w:szCs w:val="28"/>
        </w:rPr>
        <w:instrText xml:space="preserve">TOC \o "1-2" \h \u </w:instrText>
      </w:r>
      <w:r w:rsidRPr="00F55CEE">
        <w:rPr>
          <w:rFonts w:ascii="方正小标宋_GBK" w:eastAsia="方正小标宋_GBK" w:hAnsi="黑体" w:cs="黑体" w:hint="eastAsia"/>
          <w:bCs/>
          <w:color w:val="000000"/>
          <w:sz w:val="28"/>
          <w:szCs w:val="28"/>
        </w:rPr>
        <w:fldChar w:fldCharType="separate"/>
      </w:r>
      <w:hyperlink w:anchor="_Toc30215" w:history="1">
        <w:r w:rsidR="001145CC">
          <w:rPr>
            <w:rFonts w:ascii="仿宋_GB2312" w:eastAsia="仿宋_GB2312" w:hAnsi="仿宋_GB2312" w:cs="仿宋_GB2312" w:hint="eastAsia"/>
            <w:sz w:val="28"/>
            <w:szCs w:val="40"/>
          </w:rPr>
          <w:t>一、项目基本情况</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_Toc30215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- 1 -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28801" w:history="1">
        <w:r w:rsidR="001145CC">
          <w:rPr>
            <w:rFonts w:ascii="仿宋_GB2312" w:eastAsia="仿宋_GB2312" w:hAnsi="仿宋_GB2312" w:cs="仿宋_GB2312" w:hint="eastAsia"/>
            <w:sz w:val="28"/>
            <w:szCs w:val="40"/>
          </w:rPr>
          <w:t>（一）项目背景和概况</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_Toc28801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- 1 -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12963" w:history="1">
        <w:r w:rsidR="001145CC">
          <w:rPr>
            <w:rFonts w:ascii="仿宋_GB2312" w:eastAsia="仿宋_GB2312" w:hAnsi="仿宋_GB2312" w:cs="仿宋_GB2312" w:hint="eastAsia"/>
            <w:sz w:val="28"/>
            <w:szCs w:val="40"/>
          </w:rPr>
          <w:t>（二）</w:t>
        </w:r>
        <w:r w:rsidR="001145CC">
          <w:rPr>
            <w:rFonts w:ascii="仿宋_GB2312" w:eastAsia="仿宋_GB2312" w:hAnsi="仿宋_GB2312" w:cs="仿宋_GB2312" w:hint="eastAsia"/>
            <w:sz w:val="28"/>
            <w:szCs w:val="40"/>
          </w:rPr>
          <w:t xml:space="preserve"> </w:t>
        </w:r>
        <w:r w:rsidR="001145CC">
          <w:rPr>
            <w:rFonts w:ascii="仿宋_GB2312" w:eastAsia="仿宋_GB2312" w:hAnsi="仿宋_GB2312" w:cs="仿宋_GB2312" w:hint="eastAsia"/>
            <w:sz w:val="28"/>
            <w:szCs w:val="40"/>
          </w:rPr>
          <w:t>项目立项依据</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_Toc12963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- 3 -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20035" w:history="1">
        <w:r w:rsidR="001145CC">
          <w:rPr>
            <w:rFonts w:ascii="仿宋_GB2312" w:eastAsia="仿宋_GB2312" w:hAnsi="仿宋_GB2312" w:cs="仿宋_GB2312" w:hint="eastAsia"/>
            <w:sz w:val="28"/>
            <w:szCs w:val="40"/>
          </w:rPr>
          <w:t>（三）项目预算及资金使用</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_Toc20035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- 4 -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12607" w:history="1">
        <w:r w:rsidR="001145CC">
          <w:rPr>
            <w:rFonts w:ascii="仿宋_GB2312" w:eastAsia="仿宋_GB2312" w:hAnsi="仿宋_GB2312" w:cs="仿宋_GB2312" w:hint="eastAsia"/>
            <w:sz w:val="28"/>
            <w:szCs w:val="40"/>
          </w:rPr>
          <w:t>（四）项目实施内容</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_Toc12607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- 6 -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4835" w:history="1">
        <w:r w:rsidR="001145CC">
          <w:rPr>
            <w:rFonts w:ascii="仿宋_GB2312" w:eastAsia="仿宋_GB2312" w:hAnsi="仿宋_GB2312" w:cs="仿宋_GB2312" w:hint="eastAsia"/>
            <w:sz w:val="28"/>
            <w:szCs w:val="40"/>
          </w:rPr>
          <w:t>（五）项目组织管理</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_Toc4835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- 9 -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2464" w:history="1">
        <w:r w:rsidR="001145CC">
          <w:rPr>
            <w:rFonts w:ascii="仿宋_GB2312" w:eastAsia="仿宋_GB2312" w:hAnsi="仿宋_GB2312" w:cs="仿宋_GB2312" w:hint="eastAsia"/>
            <w:sz w:val="28"/>
            <w:szCs w:val="40"/>
          </w:rPr>
          <w:t>（六）项目绩效目标</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_Toc2464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- 11 -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rPr>
          <w:rFonts w:ascii="仿宋_GB2312" w:eastAsia="仿宋_GB2312" w:hAnsi="仿宋_GB2312" w:cs="仿宋_GB2312"/>
          <w:sz w:val="28"/>
          <w:szCs w:val="40"/>
        </w:rPr>
      </w:pPr>
      <w:hyperlink w:anchor="_Toc24610" w:history="1">
        <w:r w:rsidR="001145CC">
          <w:rPr>
            <w:rFonts w:ascii="仿宋_GB2312" w:eastAsia="仿宋_GB2312" w:hAnsi="仿宋_GB2312" w:cs="仿宋_GB2312" w:hint="eastAsia"/>
            <w:sz w:val="28"/>
            <w:szCs w:val="40"/>
          </w:rPr>
          <w:t>二、评价结论</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_Toc24610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- 12 -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rPr>
          <w:rFonts w:ascii="仿宋_GB2312" w:eastAsia="仿宋_GB2312" w:hAnsi="仿宋_GB2312" w:cs="仿宋_GB2312"/>
          <w:sz w:val="28"/>
          <w:szCs w:val="40"/>
        </w:rPr>
      </w:pPr>
      <w:hyperlink w:anchor="_Toc17249" w:history="1">
        <w:r w:rsidR="001145CC">
          <w:rPr>
            <w:rFonts w:ascii="仿宋_GB2312" w:eastAsia="仿宋_GB2312" w:hAnsi="仿宋_GB2312" w:cs="仿宋_GB2312" w:hint="eastAsia"/>
            <w:sz w:val="28"/>
            <w:szCs w:val="40"/>
          </w:rPr>
          <w:t>三、绩效指标分析</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_Toc17249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- 12 -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24708" w:history="1">
        <w:r w:rsidR="001145CC">
          <w:rPr>
            <w:rFonts w:ascii="仿宋_GB2312" w:eastAsia="仿宋_GB2312" w:hAnsi="仿宋_GB2312" w:cs="仿宋_GB2312" w:hint="eastAsia"/>
            <w:sz w:val="28"/>
            <w:szCs w:val="40"/>
          </w:rPr>
          <w:t>（一）项目决策指标分析</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_Toc24708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- 12 -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743" w:history="1">
        <w:r w:rsidR="001145CC">
          <w:rPr>
            <w:rFonts w:ascii="仿宋_GB2312" w:eastAsia="仿宋_GB2312" w:hAnsi="仿宋_GB2312" w:cs="仿宋_GB2312" w:hint="eastAsia"/>
            <w:sz w:val="28"/>
            <w:szCs w:val="40"/>
          </w:rPr>
          <w:t>（二）项目过程指标分析</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_Toc743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- 15 -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773" w:history="1">
        <w:r w:rsidR="001145CC">
          <w:rPr>
            <w:rFonts w:ascii="仿宋_GB2312" w:eastAsia="仿宋_GB2312" w:hAnsi="仿宋_GB2312" w:cs="仿宋_GB2312" w:hint="eastAsia"/>
            <w:sz w:val="28"/>
            <w:szCs w:val="40"/>
          </w:rPr>
          <w:t>（三）项目产出指标分析</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_Toc773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- 19 -</w:t>
        </w:r>
        <w:r>
          <w:rPr>
            <w:rFonts w:ascii="仿宋_GB2312" w:eastAsia="仿宋_GB2312" w:hAnsi="仿宋_GB2312" w:cs="仿宋_GB2312" w:hint="eastAsia"/>
            <w:sz w:val="28"/>
            <w:szCs w:val="40"/>
          </w:rPr>
          <w:fldChar w:fldCharType="end"/>
        </w:r>
      </w:hyperlink>
    </w:p>
    <w:p w:rsidR="00F55CEE" w:rsidRDefault="00F55CEE">
      <w:pPr>
        <w:pStyle w:val="20"/>
        <w:tabs>
          <w:tab w:val="right" w:leader="dot" w:pos="8306"/>
        </w:tabs>
        <w:spacing w:line="500" w:lineRule="exact"/>
        <w:rPr>
          <w:rFonts w:ascii="仿宋_GB2312" w:eastAsia="仿宋_GB2312" w:hAnsi="仿宋_GB2312" w:cs="仿宋_GB2312"/>
          <w:sz w:val="28"/>
          <w:szCs w:val="40"/>
        </w:rPr>
      </w:pPr>
      <w:hyperlink w:anchor="_Toc3781" w:history="1">
        <w:r w:rsidR="001145CC">
          <w:rPr>
            <w:rFonts w:ascii="仿宋_GB2312" w:eastAsia="仿宋_GB2312" w:hAnsi="仿宋_GB2312" w:cs="仿宋_GB2312" w:hint="eastAsia"/>
            <w:sz w:val="28"/>
            <w:szCs w:val="40"/>
          </w:rPr>
          <w:t>（四）项目效益指标分析</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_Toc3781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- 21 -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rPr>
          <w:rFonts w:ascii="仿宋_GB2312" w:eastAsia="仿宋_GB2312" w:hAnsi="仿宋_GB2312" w:cs="仿宋_GB2312"/>
          <w:sz w:val="28"/>
          <w:szCs w:val="40"/>
        </w:rPr>
      </w:pPr>
      <w:hyperlink w:anchor="_Toc16748" w:history="1">
        <w:r w:rsidR="001145CC">
          <w:rPr>
            <w:rFonts w:ascii="仿宋_GB2312" w:eastAsia="仿宋_GB2312" w:hAnsi="仿宋_GB2312" w:cs="仿宋_GB2312" w:hint="eastAsia"/>
            <w:sz w:val="28"/>
            <w:szCs w:val="40"/>
          </w:rPr>
          <w:t>四、主要经验做法</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_Toc16748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- 24 -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rPr>
          <w:rFonts w:ascii="仿宋_GB2312" w:eastAsia="仿宋_GB2312" w:hAnsi="仿宋_GB2312" w:cs="仿宋_GB2312"/>
          <w:sz w:val="28"/>
          <w:szCs w:val="40"/>
        </w:rPr>
      </w:pPr>
      <w:hyperlink w:anchor="_Toc22189" w:history="1">
        <w:r w:rsidR="001145CC">
          <w:rPr>
            <w:rFonts w:ascii="仿宋_GB2312" w:eastAsia="仿宋_GB2312" w:hAnsi="仿宋_GB2312" w:cs="仿宋_GB2312" w:hint="eastAsia"/>
            <w:sz w:val="28"/>
            <w:szCs w:val="40"/>
          </w:rPr>
          <w:t>五、存在的问题及原因分析</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_Toc22189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xml:space="preserve">- </w:t>
        </w:r>
        <w:r w:rsidR="001145CC">
          <w:rPr>
            <w:rFonts w:ascii="仿宋_GB2312" w:eastAsia="仿宋_GB2312" w:hAnsi="仿宋_GB2312" w:cs="仿宋_GB2312" w:hint="eastAsia"/>
            <w:sz w:val="28"/>
            <w:szCs w:val="40"/>
          </w:rPr>
          <w:t>25 -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rPr>
          <w:rFonts w:ascii="仿宋_GB2312" w:eastAsia="仿宋_GB2312" w:hAnsi="仿宋_GB2312" w:cs="仿宋_GB2312"/>
          <w:sz w:val="28"/>
          <w:szCs w:val="40"/>
        </w:rPr>
      </w:pPr>
      <w:hyperlink w:anchor="_Toc12259" w:history="1">
        <w:r w:rsidR="001145CC">
          <w:rPr>
            <w:rFonts w:ascii="仿宋_GB2312" w:eastAsia="仿宋_GB2312" w:hAnsi="仿宋_GB2312" w:cs="仿宋_GB2312" w:hint="eastAsia"/>
            <w:sz w:val="28"/>
            <w:szCs w:val="40"/>
          </w:rPr>
          <w:t>六、有关建议</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_Toc12259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- 26 -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rPr>
          <w:rFonts w:ascii="仿宋_GB2312" w:eastAsia="仿宋_GB2312" w:hAnsi="仿宋_GB2312" w:cs="仿宋_GB2312"/>
          <w:sz w:val="28"/>
          <w:szCs w:val="40"/>
        </w:rPr>
      </w:pPr>
      <w:hyperlink w:anchor="_Toc29053" w:history="1">
        <w:r w:rsidR="001145CC">
          <w:rPr>
            <w:rFonts w:ascii="仿宋_GB2312" w:eastAsia="仿宋_GB2312" w:hAnsi="仿宋_GB2312" w:cs="仿宋_GB2312" w:hint="eastAsia"/>
            <w:sz w:val="28"/>
            <w:szCs w:val="40"/>
          </w:rPr>
          <w:t>七、其他需说明的问题</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_Toc29053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w:t>
        </w:r>
        <w:r w:rsidR="001145CC">
          <w:rPr>
            <w:rFonts w:ascii="仿宋_GB2312" w:eastAsia="仿宋_GB2312" w:hAnsi="仿宋_GB2312" w:cs="仿宋_GB2312" w:hint="eastAsia"/>
            <w:sz w:val="28"/>
            <w:szCs w:val="40"/>
          </w:rPr>
          <w:t xml:space="preserve"> 27 -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rPr>
          <w:rFonts w:ascii="仿宋_GB2312" w:eastAsia="仿宋_GB2312" w:hAnsi="仿宋_GB2312" w:cs="仿宋_GB2312"/>
          <w:sz w:val="28"/>
          <w:szCs w:val="40"/>
        </w:rPr>
      </w:pPr>
      <w:hyperlink w:anchor="_Toc14250" w:history="1">
        <w:r w:rsidR="001145CC">
          <w:rPr>
            <w:rFonts w:ascii="仿宋_GB2312" w:eastAsia="仿宋_GB2312" w:hAnsi="仿宋_GB2312" w:cs="仿宋_GB2312" w:hint="eastAsia"/>
            <w:sz w:val="28"/>
            <w:szCs w:val="40"/>
          </w:rPr>
          <w:t>附件</w:t>
        </w:r>
        <w:r w:rsidR="001145CC">
          <w:rPr>
            <w:rFonts w:ascii="仿宋_GB2312" w:eastAsia="仿宋_GB2312" w:hAnsi="仿宋_GB2312" w:cs="仿宋_GB2312" w:hint="eastAsia"/>
            <w:sz w:val="28"/>
            <w:szCs w:val="40"/>
          </w:rPr>
          <w:t>1</w:t>
        </w:r>
        <w:r w:rsidR="001145CC">
          <w:rPr>
            <w:rFonts w:ascii="仿宋_GB2312" w:eastAsia="仿宋_GB2312" w:hAnsi="仿宋_GB2312" w:cs="仿宋_GB2312" w:hint="eastAsia"/>
            <w:sz w:val="28"/>
            <w:szCs w:val="40"/>
          </w:rPr>
          <w:t>：绩效评价工作情况</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_Toc14250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- 28 -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rPr>
          <w:rFonts w:ascii="仿宋_GB2312" w:eastAsia="仿宋_GB2312" w:hAnsi="仿宋_GB2312" w:cs="仿宋_GB2312"/>
          <w:sz w:val="28"/>
          <w:szCs w:val="40"/>
        </w:rPr>
      </w:pPr>
      <w:hyperlink w:anchor="_Toc463" w:history="1">
        <w:r w:rsidR="001145CC">
          <w:rPr>
            <w:rFonts w:ascii="仿宋_GB2312" w:eastAsia="仿宋_GB2312" w:hAnsi="仿宋_GB2312" w:cs="仿宋_GB2312" w:hint="eastAsia"/>
            <w:sz w:val="28"/>
            <w:szCs w:val="40"/>
          </w:rPr>
          <w:t>附件</w:t>
        </w:r>
        <w:r w:rsidR="001145CC">
          <w:rPr>
            <w:rFonts w:ascii="仿宋_GB2312" w:eastAsia="仿宋_GB2312" w:hAnsi="仿宋_GB2312" w:cs="仿宋_GB2312" w:hint="eastAsia"/>
            <w:sz w:val="28"/>
            <w:szCs w:val="40"/>
          </w:rPr>
          <w:t>2</w:t>
        </w:r>
        <w:r w:rsidR="001145CC">
          <w:rPr>
            <w:rFonts w:ascii="仿宋_GB2312" w:eastAsia="仿宋_GB2312" w:hAnsi="仿宋_GB2312" w:cs="仿宋_GB2312" w:hint="eastAsia"/>
            <w:sz w:val="28"/>
            <w:szCs w:val="40"/>
          </w:rPr>
          <w:t>：指标分析表</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_Toc463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- 32 -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rPr>
          <w:rFonts w:ascii="仿宋_GB2312" w:eastAsia="仿宋_GB2312" w:hAnsi="仿宋_GB2312" w:cs="仿宋_GB2312"/>
          <w:sz w:val="28"/>
          <w:szCs w:val="40"/>
        </w:rPr>
      </w:pPr>
      <w:hyperlink w:anchor="_Toc3810" w:history="1">
        <w:r w:rsidR="001145CC">
          <w:rPr>
            <w:rFonts w:ascii="仿宋_GB2312" w:eastAsia="仿宋_GB2312" w:hAnsi="仿宋_GB2312" w:cs="仿宋_GB2312" w:hint="eastAsia"/>
            <w:sz w:val="28"/>
            <w:szCs w:val="40"/>
          </w:rPr>
          <w:t>附件</w:t>
        </w:r>
        <w:r w:rsidR="001145CC">
          <w:rPr>
            <w:rFonts w:ascii="仿宋_GB2312" w:eastAsia="仿宋_GB2312" w:hAnsi="仿宋_GB2312" w:cs="仿宋_GB2312" w:hint="eastAsia"/>
            <w:sz w:val="28"/>
            <w:szCs w:val="40"/>
          </w:rPr>
          <w:t>3</w:t>
        </w:r>
        <w:r w:rsidR="001145CC">
          <w:rPr>
            <w:rFonts w:ascii="仿宋_GB2312" w:eastAsia="仿宋_GB2312" w:hAnsi="仿宋_GB2312" w:cs="仿宋_GB2312" w:hint="eastAsia"/>
            <w:sz w:val="28"/>
            <w:szCs w:val="40"/>
          </w:rPr>
          <w:t>：问卷分析</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_Toc3810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- 35 -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spacing w:line="500" w:lineRule="exact"/>
      </w:pPr>
      <w:hyperlink w:anchor="_Toc1861" w:history="1">
        <w:r w:rsidR="001145CC">
          <w:rPr>
            <w:rFonts w:ascii="仿宋_GB2312" w:eastAsia="仿宋_GB2312" w:hAnsi="仿宋_GB2312" w:cs="仿宋_GB2312" w:hint="eastAsia"/>
            <w:sz w:val="28"/>
            <w:szCs w:val="40"/>
          </w:rPr>
          <w:t>附件</w:t>
        </w:r>
        <w:r w:rsidR="001145CC">
          <w:rPr>
            <w:rFonts w:ascii="仿宋_GB2312" w:eastAsia="仿宋_GB2312" w:hAnsi="仿宋_GB2312" w:cs="仿宋_GB2312" w:hint="eastAsia"/>
            <w:sz w:val="28"/>
            <w:szCs w:val="40"/>
          </w:rPr>
          <w:t>4</w:t>
        </w:r>
        <w:r w:rsidR="001145CC">
          <w:rPr>
            <w:rFonts w:ascii="仿宋_GB2312" w:eastAsia="仿宋_GB2312" w:hAnsi="仿宋_GB2312" w:cs="仿宋_GB2312" w:hint="eastAsia"/>
            <w:sz w:val="28"/>
            <w:szCs w:val="40"/>
          </w:rPr>
          <w:t>：访谈报告</w:t>
        </w:r>
        <w:r w:rsidR="001145CC">
          <w:rPr>
            <w:rFonts w:ascii="仿宋_GB2312" w:eastAsia="仿宋_GB2312" w:hAnsi="仿宋_GB2312" w:cs="仿宋_GB2312" w:hint="eastAsia"/>
            <w:sz w:val="28"/>
            <w:szCs w:val="40"/>
          </w:rPr>
          <w:tab/>
        </w:r>
        <w:r>
          <w:rPr>
            <w:rFonts w:ascii="仿宋_GB2312" w:eastAsia="仿宋_GB2312" w:hAnsi="仿宋_GB2312" w:cs="仿宋_GB2312" w:hint="eastAsia"/>
            <w:sz w:val="28"/>
            <w:szCs w:val="40"/>
          </w:rPr>
          <w:fldChar w:fldCharType="begin"/>
        </w:r>
        <w:r w:rsidR="001145CC">
          <w:rPr>
            <w:rFonts w:ascii="仿宋_GB2312" w:eastAsia="仿宋_GB2312" w:hAnsi="仿宋_GB2312" w:cs="仿宋_GB2312" w:hint="eastAsia"/>
            <w:sz w:val="28"/>
            <w:szCs w:val="40"/>
          </w:rPr>
          <w:instrText xml:space="preserve"> PAGEREF _Toc1861 \h </w:instrText>
        </w:r>
        <w:r>
          <w:rPr>
            <w:rFonts w:ascii="仿宋_GB2312" w:eastAsia="仿宋_GB2312" w:hAnsi="仿宋_GB2312" w:cs="仿宋_GB2312" w:hint="eastAsia"/>
            <w:sz w:val="28"/>
            <w:szCs w:val="40"/>
          </w:rPr>
        </w:r>
        <w:r>
          <w:rPr>
            <w:rFonts w:ascii="仿宋_GB2312" w:eastAsia="仿宋_GB2312" w:hAnsi="仿宋_GB2312" w:cs="仿宋_GB2312" w:hint="eastAsia"/>
            <w:sz w:val="28"/>
            <w:szCs w:val="40"/>
          </w:rPr>
          <w:fldChar w:fldCharType="separate"/>
        </w:r>
        <w:r w:rsidR="001145CC">
          <w:rPr>
            <w:rFonts w:ascii="仿宋_GB2312" w:eastAsia="仿宋_GB2312" w:hAnsi="仿宋_GB2312" w:cs="仿宋_GB2312" w:hint="eastAsia"/>
            <w:sz w:val="28"/>
            <w:szCs w:val="40"/>
          </w:rPr>
          <w:t>- 42 -</w:t>
        </w:r>
        <w:r>
          <w:rPr>
            <w:rFonts w:ascii="仿宋_GB2312" w:eastAsia="仿宋_GB2312" w:hAnsi="仿宋_GB2312" w:cs="仿宋_GB2312" w:hint="eastAsia"/>
            <w:sz w:val="28"/>
            <w:szCs w:val="40"/>
          </w:rPr>
          <w:fldChar w:fldCharType="end"/>
        </w:r>
      </w:hyperlink>
    </w:p>
    <w:p w:rsidR="00F55CEE" w:rsidRDefault="00F55CEE">
      <w:pPr>
        <w:pStyle w:val="10"/>
        <w:tabs>
          <w:tab w:val="right" w:leader="dot" w:pos="8306"/>
        </w:tabs>
        <w:rPr>
          <w:rFonts w:ascii="方正小标宋_GBK" w:eastAsia="方正小标宋_GBK" w:hAnsi="黑体" w:cs="黑体"/>
          <w:bCs/>
          <w:color w:val="000000"/>
          <w:szCs w:val="28"/>
        </w:rPr>
        <w:sectPr w:rsidR="00F55CEE">
          <w:footerReference w:type="default" r:id="rId19"/>
          <w:pgSz w:w="11906" w:h="16838"/>
          <w:pgMar w:top="1440" w:right="1800" w:bottom="1440" w:left="1800" w:header="907" w:footer="964" w:gutter="0"/>
          <w:pgNumType w:start="1"/>
          <w:cols w:space="425"/>
          <w:docGrid w:type="lines" w:linePitch="312"/>
        </w:sectPr>
      </w:pPr>
      <w:r>
        <w:rPr>
          <w:rFonts w:ascii="方正小标宋_GBK" w:eastAsia="方正小标宋_GBK" w:hAnsi="黑体" w:cs="黑体" w:hint="eastAsia"/>
          <w:bCs/>
          <w:color w:val="000000"/>
          <w:szCs w:val="28"/>
        </w:rPr>
        <w:fldChar w:fldCharType="end"/>
      </w:r>
      <w:bookmarkStart w:id="22" w:name="_GoBack"/>
      <w:bookmarkStart w:id="23" w:name="_Toc31351"/>
      <w:bookmarkStart w:id="24" w:name="_Toc24902"/>
      <w:bookmarkEnd w:id="22"/>
    </w:p>
    <w:p w:rsidR="00F55CEE" w:rsidRDefault="001145CC">
      <w:pPr>
        <w:pStyle w:val="1"/>
        <w:spacing w:line="360" w:lineRule="auto"/>
        <w:jc w:val="center"/>
        <w:rPr>
          <w:rFonts w:ascii="仿宋_GB2312" w:hAnsi="仿宋_GB2312" w:cs="仿宋_GB2312"/>
          <w:sz w:val="36"/>
          <w:szCs w:val="36"/>
        </w:rPr>
      </w:pPr>
      <w:bookmarkStart w:id="25" w:name="_Toc2202"/>
      <w:bookmarkStart w:id="26" w:name="_Toc25910"/>
      <w:bookmarkStart w:id="27" w:name="_Toc3498"/>
      <w:bookmarkStart w:id="28" w:name="_Toc14142"/>
      <w:bookmarkStart w:id="29" w:name="_Toc378"/>
      <w:bookmarkStart w:id="30" w:name="_Toc31580"/>
      <w:bookmarkStart w:id="31" w:name="_Toc21901"/>
      <w:bookmarkStart w:id="32" w:name="_Toc24023"/>
      <w:bookmarkStart w:id="33" w:name="_Toc8159"/>
      <w:bookmarkStart w:id="34" w:name="_Toc22202"/>
      <w:bookmarkStart w:id="35" w:name="_Toc30405"/>
      <w:bookmarkStart w:id="36" w:name="_Toc984"/>
      <w:bookmarkStart w:id="37" w:name="_Toc28999"/>
      <w:bookmarkStart w:id="38" w:name="_Toc23379"/>
      <w:bookmarkStart w:id="39" w:name="_Toc26817"/>
      <w:bookmarkStart w:id="40" w:name="_Toc5399"/>
      <w:bookmarkEnd w:id="0"/>
      <w:bookmarkEnd w:id="1"/>
      <w:bookmarkEnd w:id="2"/>
      <w:bookmarkEnd w:id="3"/>
      <w:bookmarkEnd w:id="4"/>
      <w:bookmarkEnd w:id="5"/>
      <w:bookmarkEnd w:id="6"/>
      <w:bookmarkEnd w:id="7"/>
      <w:bookmarkEnd w:id="8"/>
      <w:bookmarkEnd w:id="9"/>
      <w:bookmarkEnd w:id="23"/>
      <w:bookmarkEnd w:id="24"/>
      <w:r>
        <w:rPr>
          <w:rFonts w:ascii="黑体" w:eastAsia="黑体" w:hAnsi="黑体" w:cs="黑体" w:hint="eastAsia"/>
          <w:sz w:val="36"/>
          <w:szCs w:val="36"/>
        </w:rPr>
        <w:lastRenderedPageBreak/>
        <w:t>前</w:t>
      </w:r>
      <w:r>
        <w:rPr>
          <w:rFonts w:ascii="黑体" w:eastAsia="黑体" w:hAnsi="黑体" w:cs="黑体" w:hint="eastAsia"/>
          <w:sz w:val="36"/>
          <w:szCs w:val="36"/>
        </w:rPr>
        <w:t xml:space="preserve">  </w:t>
      </w:r>
      <w:r>
        <w:rPr>
          <w:rFonts w:ascii="黑体" w:eastAsia="黑体" w:hAnsi="黑体" w:cs="黑体" w:hint="eastAsia"/>
          <w:sz w:val="36"/>
          <w:szCs w:val="36"/>
        </w:rPr>
        <w:t>言</w:t>
      </w:r>
      <w:bookmarkEnd w:id="10"/>
      <w:bookmarkEnd w:id="11"/>
      <w:bookmarkEnd w:id="12"/>
      <w:bookmarkEnd w:id="13"/>
      <w:bookmarkEnd w:id="14"/>
      <w:bookmarkEnd w:id="15"/>
      <w:bookmarkEnd w:id="1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为进一步</w:t>
      </w:r>
      <w:r>
        <w:rPr>
          <w:rFonts w:ascii="仿宋_GB2312" w:eastAsia="仿宋_GB2312" w:hAnsi="仿宋_GB2312" w:cs="仿宋_GB2312" w:hint="eastAsia"/>
          <w:sz w:val="28"/>
          <w:szCs w:val="28"/>
        </w:rPr>
        <w:t>提高</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年三大板块旅游公路建设资金项目</w:t>
      </w:r>
      <w:r>
        <w:rPr>
          <w:rFonts w:ascii="仿宋_GB2312" w:eastAsia="仿宋_GB2312" w:hAnsi="仿宋_GB2312" w:cs="仿宋_GB2312"/>
          <w:sz w:val="28"/>
          <w:szCs w:val="28"/>
        </w:rPr>
        <w:t>的管理工作，提升财政管理科学化、规范化、精细化水平，充分发挥财政资金的作用，确保用于本项目的资金投入能充分发挥效用。受</w:t>
      </w:r>
      <w:r>
        <w:rPr>
          <w:rFonts w:ascii="仿宋_GB2312" w:eastAsia="仿宋_GB2312" w:hAnsi="仿宋_GB2312" w:cs="仿宋_GB2312" w:hint="eastAsia"/>
          <w:sz w:val="28"/>
          <w:szCs w:val="28"/>
        </w:rPr>
        <w:t>黎城</w:t>
      </w:r>
      <w:r>
        <w:rPr>
          <w:rFonts w:ascii="仿宋_GB2312" w:eastAsia="仿宋_GB2312" w:hAnsi="仿宋_GB2312" w:cs="仿宋_GB2312" w:hint="eastAsia"/>
          <w:sz w:val="28"/>
          <w:szCs w:val="28"/>
        </w:rPr>
        <w:t>县</w:t>
      </w:r>
      <w:r>
        <w:rPr>
          <w:rFonts w:ascii="仿宋_GB2312" w:eastAsia="仿宋_GB2312" w:hAnsi="仿宋_GB2312" w:cs="仿宋_GB2312"/>
          <w:sz w:val="28"/>
          <w:szCs w:val="28"/>
        </w:rPr>
        <w:t>财政局的委托，</w:t>
      </w:r>
      <w:r>
        <w:rPr>
          <w:rFonts w:ascii="仿宋_GB2312" w:eastAsia="仿宋_GB2312" w:hAnsi="仿宋_GB2312" w:cs="仿宋_GB2312" w:hint="eastAsia"/>
          <w:sz w:val="28"/>
          <w:szCs w:val="28"/>
        </w:rPr>
        <w:t>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w:t>
      </w:r>
      <w:r>
        <w:rPr>
          <w:rFonts w:ascii="仿宋_GB2312" w:eastAsia="仿宋_GB2312" w:hAnsi="仿宋_GB2312" w:cs="仿宋_GB2312"/>
          <w:sz w:val="28"/>
          <w:szCs w:val="28"/>
        </w:rPr>
        <w:t>公司承担了</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年三大板块旅游公路建设资金项目</w:t>
      </w:r>
      <w:r>
        <w:rPr>
          <w:rFonts w:ascii="仿宋_GB2312" w:eastAsia="仿宋_GB2312" w:hAnsi="仿宋_GB2312" w:cs="仿宋_GB2312"/>
          <w:sz w:val="28"/>
          <w:szCs w:val="28"/>
        </w:rPr>
        <w:t>的绩效评价工作。</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根据绩效评价的基本原理、原则以及该项目的特点，结合项目绩效目标，项目组独立研制了指标体系。</w:t>
      </w:r>
      <w:r>
        <w:rPr>
          <w:rFonts w:ascii="仿宋_GB2312" w:eastAsia="仿宋_GB2312" w:hAnsi="仿宋_GB2312" w:cs="仿宋_GB2312" w:hint="eastAsia"/>
          <w:sz w:val="28"/>
          <w:szCs w:val="28"/>
        </w:rPr>
        <w:t>从决策、过程、产出和效益等方面，</w:t>
      </w:r>
      <w:r>
        <w:rPr>
          <w:rFonts w:ascii="仿宋_GB2312" w:eastAsia="仿宋_GB2312" w:hAnsi="仿宋_GB2312" w:cs="仿宋_GB2312"/>
          <w:sz w:val="28"/>
          <w:szCs w:val="28"/>
        </w:rPr>
        <w:t>运用</w:t>
      </w:r>
      <w:r>
        <w:rPr>
          <w:rFonts w:ascii="仿宋_GB2312" w:eastAsia="仿宋_GB2312" w:hAnsi="仿宋_GB2312" w:cs="仿宋_GB2312" w:hint="eastAsia"/>
          <w:sz w:val="28"/>
          <w:szCs w:val="28"/>
        </w:rPr>
        <w:t>因素分析</w:t>
      </w:r>
      <w:r>
        <w:rPr>
          <w:rFonts w:ascii="仿宋_GB2312" w:eastAsia="仿宋_GB2312" w:hAnsi="仿宋_GB2312" w:cs="仿宋_GB2312"/>
          <w:sz w:val="28"/>
          <w:szCs w:val="28"/>
        </w:rPr>
        <w:t>法、</w:t>
      </w:r>
      <w:r>
        <w:rPr>
          <w:rFonts w:ascii="仿宋_GB2312" w:eastAsia="仿宋_GB2312" w:hAnsi="仿宋_GB2312" w:cs="仿宋_GB2312" w:hint="eastAsia"/>
          <w:sz w:val="28"/>
          <w:szCs w:val="28"/>
        </w:rPr>
        <w:t>社会调查</w:t>
      </w:r>
      <w:r>
        <w:rPr>
          <w:rFonts w:ascii="仿宋_GB2312" w:eastAsia="仿宋_GB2312" w:hAnsi="仿宋_GB2312" w:cs="仿宋_GB2312"/>
          <w:sz w:val="28"/>
          <w:szCs w:val="28"/>
        </w:rPr>
        <w:t>法等方法，通过基础数据填报、</w:t>
      </w:r>
      <w:r>
        <w:rPr>
          <w:rFonts w:ascii="仿宋_GB2312" w:eastAsia="仿宋_GB2312" w:hAnsi="仿宋_GB2312" w:cs="仿宋_GB2312" w:hint="eastAsia"/>
          <w:sz w:val="28"/>
          <w:szCs w:val="28"/>
        </w:rPr>
        <w:t>访谈工作人员</w:t>
      </w:r>
      <w:r>
        <w:rPr>
          <w:rFonts w:ascii="仿宋_GB2312" w:eastAsia="仿宋_GB2312" w:hAnsi="仿宋_GB2312" w:cs="仿宋_GB2312" w:hint="eastAsia"/>
          <w:sz w:val="28"/>
          <w:szCs w:val="28"/>
        </w:rPr>
        <w:t>等方式</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综合考察该项目的实施情况以及效益，总结经验做法，提出意见建议，</w:t>
      </w:r>
      <w:r>
        <w:rPr>
          <w:rFonts w:ascii="仿宋_GB2312" w:eastAsia="仿宋_GB2312" w:hAnsi="仿宋_GB2312" w:cs="仿宋_GB2312"/>
          <w:sz w:val="28"/>
          <w:szCs w:val="28"/>
        </w:rPr>
        <w:t>最终</w:t>
      </w:r>
      <w:r>
        <w:rPr>
          <w:rFonts w:ascii="仿宋_GB2312" w:eastAsia="仿宋_GB2312" w:hAnsi="仿宋_GB2312" w:cs="仿宋_GB2312" w:hint="eastAsia"/>
          <w:sz w:val="28"/>
          <w:szCs w:val="28"/>
        </w:rPr>
        <w:t>形成</w:t>
      </w:r>
      <w:r>
        <w:rPr>
          <w:rFonts w:ascii="仿宋_GB2312" w:eastAsia="仿宋_GB2312" w:hAnsi="仿宋_GB2312" w:cs="仿宋_GB2312"/>
          <w:sz w:val="28"/>
          <w:szCs w:val="28"/>
        </w:rPr>
        <w:t>了</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年三大板块旅游公路建设资金项目</w:t>
      </w:r>
      <w:r>
        <w:rPr>
          <w:rFonts w:ascii="仿宋_GB2312" w:eastAsia="仿宋_GB2312" w:hAnsi="仿宋_GB2312" w:cs="仿宋_GB2312"/>
          <w:sz w:val="28"/>
          <w:szCs w:val="28"/>
        </w:rPr>
        <w:t>的绩效评价报告。</w:t>
      </w:r>
    </w:p>
    <w:p w:rsidR="00F55CEE" w:rsidRDefault="00F55CEE">
      <w:pPr>
        <w:pStyle w:val="a0"/>
        <w:rPr>
          <w:rFonts w:ascii="仿宋_GB2312" w:eastAsia="仿宋_GB2312" w:hAnsi="仿宋_GB2312" w:cs="仿宋_GB2312"/>
          <w:sz w:val="28"/>
          <w:szCs w:val="28"/>
        </w:rPr>
      </w:pPr>
    </w:p>
    <w:p w:rsidR="00F55CEE" w:rsidRDefault="00F55CEE">
      <w:pPr>
        <w:pStyle w:val="a0"/>
        <w:rPr>
          <w:rFonts w:ascii="仿宋_GB2312" w:eastAsia="仿宋_GB2312" w:hAnsi="仿宋_GB2312" w:cs="仿宋_GB2312"/>
          <w:sz w:val="28"/>
          <w:szCs w:val="28"/>
        </w:rPr>
      </w:pPr>
    </w:p>
    <w:p w:rsidR="00F55CEE" w:rsidRDefault="00F55CEE">
      <w:pPr>
        <w:pStyle w:val="a0"/>
        <w:rPr>
          <w:rFonts w:ascii="仿宋_GB2312" w:eastAsia="仿宋_GB2312" w:hAnsi="仿宋_GB2312" w:cs="仿宋_GB2312"/>
          <w:sz w:val="28"/>
          <w:szCs w:val="28"/>
        </w:rPr>
      </w:pPr>
    </w:p>
    <w:p w:rsidR="00F55CEE" w:rsidRDefault="00F55CEE">
      <w:pPr>
        <w:pStyle w:val="a0"/>
        <w:rPr>
          <w:rFonts w:ascii="仿宋_GB2312" w:eastAsia="仿宋_GB2312" w:hAnsi="仿宋_GB2312" w:cs="仿宋_GB2312"/>
          <w:sz w:val="28"/>
          <w:szCs w:val="28"/>
        </w:rPr>
      </w:pPr>
    </w:p>
    <w:p w:rsidR="00F55CEE" w:rsidRDefault="00F55CEE">
      <w:pPr>
        <w:pStyle w:val="a0"/>
        <w:rPr>
          <w:rFonts w:ascii="仿宋_GB2312" w:eastAsia="仿宋_GB2312" w:hAnsi="仿宋_GB2312" w:cs="仿宋_GB2312"/>
          <w:sz w:val="28"/>
          <w:szCs w:val="28"/>
        </w:rPr>
      </w:pPr>
    </w:p>
    <w:p w:rsidR="00F55CEE" w:rsidRDefault="00F55CEE">
      <w:pPr>
        <w:pStyle w:val="a0"/>
        <w:rPr>
          <w:rFonts w:ascii="仿宋_GB2312" w:eastAsia="仿宋_GB2312" w:hAnsi="仿宋_GB2312" w:cs="仿宋_GB2312"/>
          <w:sz w:val="28"/>
          <w:szCs w:val="28"/>
        </w:rPr>
      </w:pPr>
    </w:p>
    <w:p w:rsidR="00F55CEE" w:rsidRDefault="00F55CEE">
      <w:pPr>
        <w:pStyle w:val="a0"/>
        <w:rPr>
          <w:rFonts w:ascii="仿宋_GB2312" w:eastAsia="仿宋_GB2312" w:hAnsi="仿宋_GB2312" w:cs="仿宋_GB2312"/>
          <w:sz w:val="28"/>
          <w:szCs w:val="28"/>
        </w:rPr>
      </w:pPr>
    </w:p>
    <w:p w:rsidR="00F55CEE" w:rsidRDefault="00F55CEE">
      <w:pPr>
        <w:pStyle w:val="a0"/>
        <w:rPr>
          <w:rFonts w:ascii="仿宋_GB2312" w:eastAsia="仿宋_GB2312" w:hAnsi="仿宋_GB2312" w:cs="仿宋_GB2312"/>
          <w:sz w:val="28"/>
          <w:szCs w:val="28"/>
        </w:rPr>
      </w:pPr>
    </w:p>
    <w:p w:rsidR="00F55CEE" w:rsidRDefault="00F55CEE">
      <w:pPr>
        <w:spacing w:line="360" w:lineRule="auto"/>
        <w:jc w:val="center"/>
        <w:rPr>
          <w:rFonts w:ascii="黑体" w:eastAsia="黑体" w:hAnsi="黑体" w:cs="黑体"/>
          <w:b/>
          <w:sz w:val="36"/>
          <w:szCs w:val="36"/>
        </w:rPr>
        <w:sectPr w:rsidR="00F55CEE">
          <w:footerReference w:type="default" r:id="rId20"/>
          <w:footerReference w:type="first" r:id="rId21"/>
          <w:pgSz w:w="11906" w:h="16838"/>
          <w:pgMar w:top="1440" w:right="1800" w:bottom="1440" w:left="1800" w:header="907" w:footer="964" w:gutter="0"/>
          <w:pgNumType w:start="1"/>
          <w:cols w:space="425"/>
          <w:docGrid w:type="lines" w:linePitch="312"/>
        </w:sectPr>
      </w:pPr>
    </w:p>
    <w:p w:rsidR="00F55CEE" w:rsidRDefault="001145CC">
      <w:pPr>
        <w:pStyle w:val="1"/>
        <w:spacing w:line="360" w:lineRule="auto"/>
        <w:ind w:right="0" w:firstLineChars="200" w:firstLine="560"/>
        <w:rPr>
          <w:rFonts w:ascii="黑体" w:eastAsia="黑体" w:hAnsi="黑体" w:cs="黑体"/>
          <w:sz w:val="28"/>
          <w:szCs w:val="28"/>
        </w:rPr>
      </w:pPr>
      <w:bookmarkStart w:id="41" w:name="_Toc20902"/>
      <w:bookmarkStart w:id="42" w:name="_Toc4929"/>
      <w:bookmarkStart w:id="43" w:name="_Toc25010"/>
      <w:bookmarkStart w:id="44" w:name="_Toc20514"/>
      <w:bookmarkStart w:id="45" w:name="_Toc4170"/>
      <w:bookmarkStart w:id="46" w:name="_Toc3543"/>
      <w:bookmarkStart w:id="47" w:name="_Toc17699"/>
      <w:bookmarkStart w:id="48" w:name="_Toc22324"/>
      <w:bookmarkStart w:id="49" w:name="_Toc19000"/>
      <w:bookmarkStart w:id="50" w:name="_Toc5877"/>
      <w:bookmarkStart w:id="51" w:name="_Toc20196"/>
      <w:bookmarkStart w:id="52" w:name="_Toc22160"/>
      <w:bookmarkStart w:id="53" w:name="_Toc9463"/>
      <w:bookmarkStart w:id="54" w:name="_Toc25171"/>
      <w:bookmarkStart w:id="55" w:name="_Toc4844"/>
      <w:bookmarkStart w:id="56" w:name="_Toc4714"/>
      <w:bookmarkStart w:id="57" w:name="_Toc27401"/>
      <w:bookmarkStart w:id="58" w:name="_Toc30215"/>
      <w:r>
        <w:rPr>
          <w:rFonts w:ascii="黑体" w:eastAsia="黑体" w:hAnsi="黑体" w:cs="黑体" w:hint="eastAsia"/>
          <w:b w:val="0"/>
          <w:bCs/>
          <w:sz w:val="28"/>
          <w:szCs w:val="28"/>
        </w:rPr>
        <w:lastRenderedPageBreak/>
        <w:t>一、</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rFonts w:ascii="黑体" w:eastAsia="黑体" w:hAnsi="黑体" w:cs="黑体" w:hint="eastAsia"/>
          <w:b w:val="0"/>
          <w:bCs/>
          <w:sz w:val="28"/>
          <w:szCs w:val="28"/>
        </w:rPr>
        <w:t>项目基本情况</w:t>
      </w:r>
      <w:bookmarkEnd w:id="58"/>
    </w:p>
    <w:p w:rsidR="00F55CEE" w:rsidRDefault="001145CC">
      <w:pPr>
        <w:pStyle w:val="2"/>
        <w:spacing w:before="0" w:line="360" w:lineRule="auto"/>
        <w:ind w:firstLineChars="200" w:firstLine="560"/>
        <w:rPr>
          <w:rFonts w:ascii="楷体_GB2312" w:eastAsia="楷体_GB2312" w:hAnsi="楷体_GB2312" w:cs="楷体_GB2312"/>
          <w:sz w:val="28"/>
          <w:szCs w:val="28"/>
        </w:rPr>
      </w:pPr>
      <w:bookmarkStart w:id="59" w:name="_Toc13291"/>
      <w:bookmarkStart w:id="60" w:name="_Toc4304"/>
      <w:bookmarkStart w:id="61" w:name="_Toc10598"/>
      <w:bookmarkStart w:id="62" w:name="_Toc31035"/>
      <w:bookmarkStart w:id="63" w:name="_Toc1463"/>
      <w:bookmarkStart w:id="64" w:name="_Toc29552"/>
      <w:bookmarkStart w:id="65" w:name="_Toc28719"/>
      <w:bookmarkStart w:id="66" w:name="_Toc8092"/>
      <w:bookmarkStart w:id="67" w:name="_Toc5468"/>
      <w:bookmarkStart w:id="68" w:name="_Toc20224"/>
      <w:bookmarkStart w:id="69" w:name="_Toc11181"/>
      <w:bookmarkStart w:id="70" w:name="_Toc17835"/>
      <w:bookmarkStart w:id="71" w:name="_Toc2697"/>
      <w:bookmarkStart w:id="72" w:name="_Toc28393"/>
      <w:bookmarkStart w:id="73" w:name="_Toc26190"/>
      <w:bookmarkStart w:id="74" w:name="_Toc28897"/>
      <w:bookmarkStart w:id="75" w:name="_Toc16957"/>
      <w:bookmarkStart w:id="76" w:name="_Toc28801"/>
      <w:r>
        <w:rPr>
          <w:rFonts w:ascii="楷体_GB2312" w:eastAsia="楷体_GB2312" w:hAnsi="楷体_GB2312" w:cs="楷体_GB2312" w:hint="eastAsia"/>
          <w:b w:val="0"/>
          <w:bCs w:val="0"/>
          <w:sz w:val="28"/>
          <w:szCs w:val="28"/>
        </w:rPr>
        <w:t>（一）</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ascii="楷体_GB2312" w:eastAsia="楷体_GB2312" w:hAnsi="楷体_GB2312" w:cs="楷体_GB2312" w:hint="eastAsia"/>
          <w:b w:val="0"/>
          <w:bCs w:val="0"/>
          <w:sz w:val="28"/>
          <w:szCs w:val="28"/>
        </w:rPr>
        <w:t>项目背景和概况</w:t>
      </w:r>
      <w:bookmarkEnd w:id="76"/>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“黄河之魂在山西，长城博览在山西，大美太行在山西”。</w:t>
      </w:r>
      <w:r>
        <w:rPr>
          <w:rFonts w:ascii="仿宋_GB2312" w:eastAsia="仿宋_GB2312" w:hAnsi="仿宋_GB2312" w:cs="仿宋_GB2312" w:hint="eastAsia"/>
          <w:sz w:val="28"/>
          <w:szCs w:val="28"/>
        </w:rPr>
        <w:t>2018</w:t>
      </w:r>
      <w:r>
        <w:rPr>
          <w:rFonts w:ascii="仿宋_GB2312" w:eastAsia="仿宋_GB2312" w:hAnsi="仿宋_GB2312" w:cs="仿宋_GB2312" w:hint="eastAsia"/>
          <w:sz w:val="28"/>
          <w:szCs w:val="28"/>
        </w:rPr>
        <w:t>年山西省政府工作报告提出全力打造文化旅游战略性支柱产业，锻造黄河、长城、太行三大旅游板块，构建“乐水、尚城、崇山”旅游品牌体系，将山西省打造成为旅游公路强省、国家全域旅游示范省</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发展文化旅游产业交通必须率先突破。</w:t>
      </w:r>
      <w:r>
        <w:rPr>
          <w:rFonts w:ascii="仿宋_GB2312" w:eastAsia="仿宋_GB2312" w:hAnsi="仿宋_GB2312" w:cs="仿宋_GB2312" w:hint="eastAsia"/>
          <w:sz w:val="28"/>
          <w:szCs w:val="28"/>
        </w:rPr>
        <w:t>2018</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月，山西省颁布了</w:t>
      </w:r>
      <w:r>
        <w:rPr>
          <w:rFonts w:ascii="仿宋_GB2312" w:eastAsia="仿宋_GB2312" w:hAnsi="仿宋_GB2312" w:cs="仿宋_GB2312" w:hint="eastAsia"/>
          <w:sz w:val="28"/>
          <w:szCs w:val="28"/>
        </w:rPr>
        <w:t>《山西省三大板块旅游公路规划纲要（</w:t>
      </w:r>
      <w:r>
        <w:rPr>
          <w:rFonts w:ascii="仿宋_GB2312" w:eastAsia="仿宋_GB2312" w:hAnsi="仿宋_GB2312" w:cs="仿宋_GB2312" w:hint="eastAsia"/>
          <w:sz w:val="28"/>
          <w:szCs w:val="28"/>
        </w:rPr>
        <w:t>2018-2027</w:t>
      </w:r>
      <w:r>
        <w:rPr>
          <w:rFonts w:ascii="仿宋_GB2312" w:eastAsia="仿宋_GB2312" w:hAnsi="仿宋_GB2312" w:cs="仿宋_GB2312" w:hint="eastAsia"/>
          <w:sz w:val="28"/>
          <w:szCs w:val="28"/>
        </w:rPr>
        <w:t>年）》，明确到</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年，建成黄河、长城、太行三大板块旅游公路网络，涉及</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市</w:t>
      </w:r>
      <w:r>
        <w:rPr>
          <w:rFonts w:ascii="仿宋_GB2312" w:eastAsia="仿宋_GB2312" w:hAnsi="仿宋_GB2312" w:cs="仿宋_GB2312" w:hint="eastAsia"/>
          <w:sz w:val="28"/>
          <w:szCs w:val="28"/>
        </w:rPr>
        <w:t>65</w:t>
      </w:r>
      <w:r>
        <w:rPr>
          <w:rFonts w:ascii="仿宋_GB2312" w:eastAsia="仿宋_GB2312" w:hAnsi="仿宋_GB2312" w:cs="仿宋_GB2312" w:hint="eastAsia"/>
          <w:sz w:val="28"/>
          <w:szCs w:val="28"/>
        </w:rPr>
        <w:t>县（市、区），辐射国土面积</w:t>
      </w:r>
      <w:r>
        <w:rPr>
          <w:rFonts w:ascii="仿宋_GB2312" w:eastAsia="仿宋_GB2312" w:hAnsi="仿宋_GB2312" w:cs="仿宋_GB2312" w:hint="eastAsia"/>
          <w:sz w:val="28"/>
          <w:szCs w:val="28"/>
        </w:rPr>
        <w:t>11.3</w:t>
      </w:r>
      <w:r>
        <w:rPr>
          <w:rFonts w:ascii="仿宋_GB2312" w:eastAsia="仿宋_GB2312" w:hAnsi="仿宋_GB2312" w:cs="仿宋_GB2312" w:hint="eastAsia"/>
          <w:sz w:val="28"/>
          <w:szCs w:val="28"/>
        </w:rPr>
        <w:t>万平方公里，惠及人口</w:t>
      </w:r>
      <w:r>
        <w:rPr>
          <w:rFonts w:ascii="仿宋_GB2312" w:eastAsia="仿宋_GB2312" w:hAnsi="仿宋_GB2312" w:cs="仿宋_GB2312" w:hint="eastAsia"/>
          <w:sz w:val="28"/>
          <w:szCs w:val="28"/>
        </w:rPr>
        <w:t>1700</w:t>
      </w:r>
      <w:r>
        <w:rPr>
          <w:rFonts w:ascii="仿宋_GB2312" w:eastAsia="仿宋_GB2312" w:hAnsi="仿宋_GB2312" w:cs="仿宋_GB2312" w:hint="eastAsia"/>
          <w:sz w:val="28"/>
          <w:szCs w:val="28"/>
        </w:rPr>
        <w:t>万。三大板块旅游公路的建设可形成“快进”、“慢游”旅游交通网络，对于促进山西省交通运输与旅游业转型升级，完成脱贫攻坚，培育经济发展新动能等都具有重要的意义。</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是太行革命老区，地处太行山区中南部，长治市东北部。东临河北省涉县，南接长治市黎城县、潞城市，西连长治襄垣县、武乡县，北通晋中市左权县，位于晋冀豫三省交界，素有“三省通衢”之称，地理坐标为东经</w:t>
      </w:r>
      <w:r>
        <w:rPr>
          <w:rFonts w:ascii="仿宋_GB2312" w:eastAsia="仿宋_GB2312" w:hAnsi="仿宋_GB2312" w:cs="仿宋_GB2312" w:hint="eastAsia"/>
          <w:sz w:val="28"/>
          <w:szCs w:val="28"/>
        </w:rPr>
        <w:t>113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-113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35</w:t>
      </w:r>
      <w:r>
        <w:rPr>
          <w:rFonts w:ascii="仿宋_GB2312" w:eastAsia="仿宋_GB2312" w:hAnsi="仿宋_GB2312" w:cs="仿宋_GB2312" w:hint="eastAsia"/>
          <w:sz w:val="28"/>
          <w:szCs w:val="28"/>
        </w:rPr>
        <w:t>′，北纬</w:t>
      </w:r>
      <w:r>
        <w:rPr>
          <w:rFonts w:ascii="仿宋_GB2312" w:eastAsia="仿宋_GB2312" w:hAnsi="仿宋_GB2312" w:cs="仿宋_GB2312" w:hint="eastAsia"/>
          <w:sz w:val="28"/>
          <w:szCs w:val="28"/>
        </w:rPr>
        <w:t>36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53</w:t>
      </w:r>
      <w:r>
        <w:rPr>
          <w:rFonts w:ascii="仿宋_GB2312" w:eastAsia="仿宋_GB2312" w:hAnsi="仿宋_GB2312" w:cs="仿宋_GB2312" w:hint="eastAsia"/>
          <w:sz w:val="28"/>
          <w:szCs w:val="28"/>
        </w:rPr>
        <w:t>′，南北长</w:t>
      </w:r>
      <w:r>
        <w:rPr>
          <w:rFonts w:ascii="仿宋_GB2312" w:eastAsia="仿宋_GB2312" w:hAnsi="仿宋_GB2312" w:cs="仿宋_GB2312" w:hint="eastAsia"/>
          <w:sz w:val="28"/>
          <w:szCs w:val="28"/>
        </w:rPr>
        <w:t>53.7</w:t>
      </w:r>
      <w:r>
        <w:rPr>
          <w:rFonts w:ascii="仿宋_GB2312" w:eastAsia="仿宋_GB2312" w:hAnsi="仿宋_GB2312" w:cs="仿宋_GB2312" w:hint="eastAsia"/>
          <w:sz w:val="28"/>
          <w:szCs w:val="28"/>
        </w:rPr>
        <w:t>公里，东西宽</w:t>
      </w:r>
      <w:r>
        <w:rPr>
          <w:rFonts w:ascii="仿宋_GB2312" w:eastAsia="仿宋_GB2312" w:hAnsi="仿宋_GB2312" w:cs="仿宋_GB2312" w:hint="eastAsia"/>
          <w:sz w:val="28"/>
          <w:szCs w:val="28"/>
        </w:rPr>
        <w:t>32</w:t>
      </w:r>
      <w:r>
        <w:rPr>
          <w:rFonts w:ascii="仿宋_GB2312" w:eastAsia="仿宋_GB2312" w:hAnsi="仿宋_GB2312" w:cs="仿宋_GB2312" w:hint="eastAsia"/>
          <w:sz w:val="28"/>
          <w:szCs w:val="28"/>
        </w:rPr>
        <w:t>公里，总面积</w:t>
      </w:r>
      <w:r>
        <w:rPr>
          <w:rFonts w:ascii="仿宋_GB2312" w:eastAsia="仿宋_GB2312" w:hAnsi="仿宋_GB2312" w:cs="仿宋_GB2312" w:hint="eastAsia"/>
          <w:sz w:val="28"/>
          <w:szCs w:val="28"/>
        </w:rPr>
        <w:t>1166</w:t>
      </w:r>
      <w:r>
        <w:rPr>
          <w:rFonts w:ascii="仿宋_GB2312" w:eastAsia="仿宋_GB2312" w:hAnsi="仿宋_GB2312" w:cs="仿宋_GB2312" w:hint="eastAsia"/>
          <w:sz w:val="28"/>
          <w:szCs w:val="28"/>
        </w:rPr>
        <w:t>平方公里，现辖</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镇</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乡</w:t>
      </w:r>
      <w:r>
        <w:rPr>
          <w:rFonts w:ascii="仿宋_GB2312" w:eastAsia="仿宋_GB2312" w:hAnsi="仿宋_GB2312" w:cs="仿宋_GB2312" w:hint="eastAsia"/>
          <w:sz w:val="28"/>
          <w:szCs w:val="28"/>
        </w:rPr>
        <w:t>255</w:t>
      </w:r>
      <w:r>
        <w:rPr>
          <w:rFonts w:ascii="仿宋_GB2312" w:eastAsia="仿宋_GB2312" w:hAnsi="仿宋_GB2312" w:cs="仿宋_GB2312" w:hint="eastAsia"/>
          <w:sz w:val="28"/>
          <w:szCs w:val="28"/>
        </w:rPr>
        <w:t>个行政村（居委会），总人口</w:t>
      </w:r>
      <w:r>
        <w:rPr>
          <w:rFonts w:ascii="仿宋_GB2312" w:eastAsia="仿宋_GB2312" w:hAnsi="仿宋_GB2312" w:cs="仿宋_GB2312" w:hint="eastAsia"/>
          <w:sz w:val="28"/>
          <w:szCs w:val="28"/>
        </w:rPr>
        <w:t>15.96</w:t>
      </w:r>
      <w:r>
        <w:rPr>
          <w:rFonts w:ascii="仿宋_GB2312" w:eastAsia="仿宋_GB2312" w:hAnsi="仿宋_GB2312" w:cs="仿宋_GB2312" w:hint="eastAsia"/>
          <w:sz w:val="28"/>
          <w:szCs w:val="28"/>
        </w:rPr>
        <w:t>万人，县人民政府驻地为黎侯镇。</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黎城县位于太行山腹地，境内自然风光独特，是革命旧址和生态旅游大县，黎城县上遥镇拥有独特的红色革命、天然奇特</w:t>
      </w:r>
      <w:r>
        <w:rPr>
          <w:rFonts w:ascii="仿宋_GB2312" w:eastAsia="仿宋_GB2312" w:hAnsi="仿宋_GB2312" w:cs="仿宋_GB2312" w:hint="eastAsia"/>
          <w:sz w:val="28"/>
          <w:szCs w:val="28"/>
        </w:rPr>
        <w:t>观、民俗生</w:t>
      </w:r>
      <w:r>
        <w:rPr>
          <w:rFonts w:ascii="仿宋_GB2312" w:eastAsia="仿宋_GB2312" w:hAnsi="仿宋_GB2312" w:cs="仿宋_GB2312" w:hint="eastAsia"/>
          <w:sz w:val="28"/>
          <w:szCs w:val="28"/>
        </w:rPr>
        <w:lastRenderedPageBreak/>
        <w:t>态等旅游资源。具有代表性的革命遗址和风景区为：左权麻田八路军前方指挥部旧址、涉县八路军</w:t>
      </w:r>
      <w:r>
        <w:rPr>
          <w:rFonts w:ascii="仿宋_GB2312" w:eastAsia="仿宋_GB2312" w:hAnsi="仿宋_GB2312" w:cs="仿宋_GB2312" w:hint="eastAsia"/>
          <w:sz w:val="28"/>
          <w:szCs w:val="28"/>
        </w:rPr>
        <w:t>129</w:t>
      </w:r>
      <w:r>
        <w:rPr>
          <w:rFonts w:ascii="仿宋_GB2312" w:eastAsia="仿宋_GB2312" w:hAnsi="仿宋_GB2312" w:cs="仿宋_GB2312" w:hint="eastAsia"/>
          <w:sz w:val="28"/>
          <w:szCs w:val="28"/>
        </w:rPr>
        <w:t>师部旧址、杨岐山景区、仙堂寺景区、广志山景区、龙洞景区、中华太行大峡谷、白岩寺风景区、广志山景区、仟仵景区、洗耳河景区板山景区等，其中：“白岩晓烟”是黎城古八景之一，白岩寺位于黎城县元村北面白岩山上，景区内自然风光独特，具有极高的旅游开发价值；广志山景区、龙洞景区和板山景区完成景区内部基础设施建设</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于</w:t>
      </w:r>
      <w:r>
        <w:rPr>
          <w:rFonts w:ascii="仿宋_GB2312" w:eastAsia="仿宋_GB2312" w:hAnsi="仿宋_GB2312" w:cs="仿宋_GB2312" w:hint="eastAsia"/>
          <w:sz w:val="28"/>
          <w:szCs w:val="28"/>
        </w:rPr>
        <w:t>2015</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月对外开放。</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随着黎城县旅游景区开发建设进度全面加快，各方游客的逐年增多，连接景区的交通基础设</w:t>
      </w:r>
      <w:r>
        <w:rPr>
          <w:rFonts w:ascii="仿宋_GB2312" w:eastAsia="仿宋_GB2312" w:hAnsi="仿宋_GB2312" w:cs="仿宋_GB2312" w:hint="eastAsia"/>
          <w:sz w:val="28"/>
          <w:szCs w:val="28"/>
        </w:rPr>
        <w:t>施的薄弱及不完善，严重制约着景区的开发建设，现该区域的路网结构和道路服务水平在很大程度上而言不能满足旅游景区运营及景区及公路沿线周边群众的需求，并直接影响黎城的旅游产业和县域经济社会的发展。为此，黎城县委、县政府决定实施黎城县景区旅游公路工程，并将此项目列为黎城县十三五发展规划中的重点工程。</w:t>
      </w:r>
    </w:p>
    <w:p w:rsidR="00F55CEE" w:rsidRDefault="001145CC">
      <w:pPr>
        <w:pStyle w:val="a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拟建的“太行一号国家旅游公路”全长</w:t>
      </w:r>
      <w:r>
        <w:rPr>
          <w:rFonts w:ascii="仿宋_GB2312" w:eastAsia="仿宋_GB2312" w:hAnsi="仿宋_GB2312" w:cs="仿宋_GB2312" w:hint="eastAsia"/>
          <w:sz w:val="28"/>
          <w:szCs w:val="28"/>
        </w:rPr>
        <w:t>1257</w:t>
      </w:r>
      <w:r>
        <w:rPr>
          <w:rFonts w:ascii="仿宋_GB2312" w:eastAsia="仿宋_GB2312" w:hAnsi="仿宋_GB2312" w:cs="仿宋_GB2312" w:hint="eastAsia"/>
          <w:sz w:val="28"/>
          <w:szCs w:val="28"/>
        </w:rPr>
        <w:t>公里，联通忻州、阳泉、晋中、长治、晋城</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个地市。其中长治市太行一号旅游公路长</w:t>
      </w:r>
      <w:r>
        <w:rPr>
          <w:rFonts w:ascii="仿宋_GB2312" w:eastAsia="仿宋_GB2312" w:hAnsi="仿宋_GB2312" w:cs="仿宋_GB2312" w:hint="eastAsia"/>
          <w:sz w:val="28"/>
          <w:szCs w:val="28"/>
        </w:rPr>
        <w:t>277.3km</w:t>
      </w:r>
      <w:r>
        <w:rPr>
          <w:rFonts w:ascii="仿宋_GB2312" w:eastAsia="仿宋_GB2312" w:hAnsi="仿宋_GB2312" w:cs="仿宋_GB2312" w:hint="eastAsia"/>
          <w:sz w:val="28"/>
          <w:szCs w:val="28"/>
        </w:rPr>
        <w:t>，连接武乡县、黎城县、黎城县、壶关县</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个县，串联</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级景区及近</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个市域重要旅游资源</w:t>
      </w:r>
      <w:r>
        <w:rPr>
          <w:rFonts w:ascii="仿宋_GB2312" w:eastAsia="仿宋_GB2312" w:hAnsi="仿宋_GB2312" w:cs="仿宋_GB2312" w:hint="eastAsia"/>
          <w:sz w:val="28"/>
          <w:szCs w:val="28"/>
        </w:rPr>
        <w:t>，是太行一号国家旅游公路的重要组成部分，同时也是《长治市旅游公路发展规划》中“三纵三横”旅游公路干线的重要组成部分，黎城辖区内旅游公路已纳入山西省三大板块旅游公路规划纲要内，统称为三大板块旅游公路。本次绩效评价的三大板块旅游公路主要包括：港东</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白岩寺段、北泉寨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后家滩段、</w:t>
      </w:r>
      <w:r>
        <w:rPr>
          <w:rFonts w:ascii="仿宋_GB2312" w:eastAsia="仿宋_GB2312" w:hAnsi="仿宋_GB2312" w:cs="仿宋_GB2312" w:hint="eastAsia"/>
          <w:sz w:val="28"/>
          <w:szCs w:val="28"/>
        </w:rPr>
        <w:lastRenderedPageBreak/>
        <w:t>杨家庄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龙洞第一期、西井</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板山段工程。</w:t>
      </w:r>
    </w:p>
    <w:p w:rsidR="00F55CEE" w:rsidRDefault="001145CC">
      <w:pPr>
        <w:pStyle w:val="2"/>
        <w:numPr>
          <w:ilvl w:val="0"/>
          <w:numId w:val="1"/>
        </w:numPr>
        <w:spacing w:before="0" w:line="360" w:lineRule="auto"/>
        <w:ind w:firstLineChars="200" w:firstLine="560"/>
        <w:rPr>
          <w:rFonts w:ascii="楷体_GB2312" w:eastAsia="楷体_GB2312" w:hAnsi="楷体_GB2312" w:cs="楷体_GB2312"/>
          <w:b w:val="0"/>
          <w:bCs w:val="0"/>
          <w:sz w:val="28"/>
          <w:szCs w:val="28"/>
        </w:rPr>
      </w:pPr>
      <w:bookmarkStart w:id="77" w:name="_Toc12963"/>
      <w:bookmarkStart w:id="78" w:name="_Toc31923"/>
      <w:r>
        <w:rPr>
          <w:rFonts w:ascii="楷体_GB2312" w:eastAsia="楷体_GB2312" w:hAnsi="楷体_GB2312" w:cs="楷体_GB2312" w:hint="eastAsia"/>
          <w:b w:val="0"/>
          <w:bCs w:val="0"/>
          <w:sz w:val="28"/>
          <w:szCs w:val="28"/>
        </w:rPr>
        <w:t>项目立项依据</w:t>
      </w:r>
      <w:bookmarkEnd w:id="77"/>
      <w:bookmarkEnd w:id="78"/>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《山西省交通运输厅关于农村旅游公路建设规划（</w:t>
      </w:r>
      <w:r>
        <w:rPr>
          <w:rFonts w:ascii="仿宋_GB2312" w:eastAsia="仿宋_GB2312" w:hAnsi="仿宋_GB2312" w:cs="仿宋_GB2312" w:hint="eastAsia"/>
          <w:kern w:val="2"/>
          <w:sz w:val="28"/>
          <w:szCs w:val="28"/>
        </w:rPr>
        <w:t>2016</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长治市旅游公路建设“十三五”规划</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《黎城县十三五发展规划》</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中华太行大峡谷旅游公路规划</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《山西省三大板块旅游公路规划纲要》</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关于黎城县白岩寺旅游公路（港东</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白岩寺）工程可行性研究报告的批复</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黎发改审发</w:t>
      </w:r>
      <w:r>
        <w:rPr>
          <w:rFonts w:ascii="仿宋_GB2312" w:eastAsia="仿宋_GB2312" w:hAnsi="仿宋_GB2312" w:cs="仿宋_GB2312" w:hint="eastAsia"/>
          <w:kern w:val="2"/>
          <w:sz w:val="28"/>
          <w:szCs w:val="28"/>
        </w:rPr>
        <w:t>[2016]115</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关于变更黎城县白岩寺旅游公路（港东</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白岩寺）工程工程项目名称的通知</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黎发改审发</w:t>
      </w:r>
      <w:r>
        <w:rPr>
          <w:rFonts w:ascii="仿宋_GB2312" w:eastAsia="仿宋_GB2312" w:hAnsi="仿宋_GB2312" w:cs="仿宋_GB2312" w:hint="eastAsia"/>
          <w:kern w:val="2"/>
          <w:sz w:val="28"/>
          <w:szCs w:val="28"/>
        </w:rPr>
        <w:t>[2019]70</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关于太行板块旅游公路长治市黎城县白岩寺旅游公路工程水土保持方案报告书的批复》</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黎审批字</w:t>
      </w:r>
      <w:r>
        <w:rPr>
          <w:rFonts w:ascii="仿宋_GB2312" w:eastAsia="仿宋_GB2312" w:hAnsi="仿宋_GB2312" w:cs="仿宋_GB2312" w:hint="eastAsia"/>
          <w:kern w:val="2"/>
          <w:sz w:val="28"/>
          <w:szCs w:val="28"/>
        </w:rPr>
        <w:t>[2020]30</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关于中华太行大峡谷旅游公路（黎城</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后家滩）工程可行性研究报告的批复》</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黎发改审发</w:t>
      </w:r>
      <w:r>
        <w:rPr>
          <w:rFonts w:ascii="仿宋_GB2312" w:eastAsia="仿宋_GB2312" w:hAnsi="仿宋_GB2312" w:cs="仿宋_GB2312" w:hint="eastAsia"/>
          <w:kern w:val="2"/>
          <w:sz w:val="28"/>
          <w:szCs w:val="28"/>
        </w:rPr>
        <w:t>[2017]43</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《关于中华太行大峡谷旅游公路（黎城</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后家滩）工程初步设计的批复》</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黎发改审发</w:t>
      </w:r>
      <w:r>
        <w:rPr>
          <w:rFonts w:ascii="仿宋_GB2312" w:eastAsia="仿宋_GB2312" w:hAnsi="仿宋_GB2312" w:cs="仿宋_GB2312" w:hint="eastAsia"/>
          <w:kern w:val="2"/>
          <w:sz w:val="28"/>
          <w:szCs w:val="28"/>
        </w:rPr>
        <w:t>[2017]115</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《关于变更中华太行大峡谷旅游公路（黎城</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后家滩）工程项目名称的通知》</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黎发改审发</w:t>
      </w:r>
      <w:r>
        <w:rPr>
          <w:rFonts w:ascii="仿宋_GB2312" w:eastAsia="仿宋_GB2312" w:hAnsi="仿宋_GB2312" w:cs="仿宋_GB2312" w:hint="eastAsia"/>
          <w:kern w:val="2"/>
          <w:sz w:val="28"/>
          <w:szCs w:val="28"/>
        </w:rPr>
        <w:t>[2019]69</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《关于黎城县龙洞景区旅游公路（杨家庄</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龙洞）一期工程可行性研究报告的批复》</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黎发改审发</w:t>
      </w:r>
      <w:r>
        <w:rPr>
          <w:rFonts w:ascii="仿宋_GB2312" w:eastAsia="仿宋_GB2312" w:hAnsi="仿宋_GB2312" w:cs="仿宋_GB2312" w:hint="eastAsia"/>
          <w:kern w:val="2"/>
          <w:sz w:val="28"/>
          <w:szCs w:val="28"/>
        </w:rPr>
        <w:t>[2016]137</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lastRenderedPageBreak/>
        <w:t>《关于黎城县龙洞景区旅游公路（杨家庄</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龙洞）一期工程调整概算的批复》</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黎发改审发</w:t>
      </w:r>
      <w:r>
        <w:rPr>
          <w:rFonts w:ascii="仿宋_GB2312" w:eastAsia="仿宋_GB2312" w:hAnsi="仿宋_GB2312" w:cs="仿宋_GB2312" w:hint="eastAsia"/>
          <w:kern w:val="2"/>
          <w:sz w:val="28"/>
          <w:szCs w:val="28"/>
        </w:rPr>
        <w:t>[2017]98</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《关于长治市太行一号旅游公路（县道西东线西井至板山段）工程可行性研究报告的批复》</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黎发改审发</w:t>
      </w:r>
      <w:r>
        <w:rPr>
          <w:rFonts w:ascii="仿宋_GB2312" w:eastAsia="仿宋_GB2312" w:hAnsi="仿宋_GB2312" w:cs="仿宋_GB2312" w:hint="eastAsia"/>
          <w:kern w:val="2"/>
          <w:sz w:val="28"/>
          <w:szCs w:val="28"/>
        </w:rPr>
        <w:t>[20</w:t>
      </w:r>
      <w:r>
        <w:rPr>
          <w:rFonts w:ascii="仿宋_GB2312" w:eastAsia="仿宋_GB2312" w:hAnsi="仿宋_GB2312" w:cs="仿宋_GB2312" w:hint="eastAsia"/>
          <w:kern w:val="2"/>
          <w:sz w:val="28"/>
          <w:szCs w:val="28"/>
        </w:rPr>
        <w:t>18]123</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《关于长治市太行一号旅游公路（县道西东线西井至板山段）工程两阶段初步设计的批复》</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黎审批字</w:t>
      </w:r>
      <w:r>
        <w:rPr>
          <w:rFonts w:ascii="仿宋_GB2312" w:eastAsia="仿宋_GB2312" w:hAnsi="仿宋_GB2312" w:cs="仿宋_GB2312" w:hint="eastAsia"/>
          <w:kern w:val="2"/>
          <w:sz w:val="28"/>
          <w:szCs w:val="28"/>
        </w:rPr>
        <w:t>[2020]18</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关于变更“长治市太行一号旅游公路（县道西东线西井至板山段）工程”项目名称的通知</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黎审批字</w:t>
      </w:r>
      <w:r>
        <w:rPr>
          <w:rFonts w:ascii="仿宋_GB2312" w:eastAsia="仿宋_GB2312" w:hAnsi="仿宋_GB2312" w:cs="仿宋_GB2312" w:hint="eastAsia"/>
          <w:kern w:val="2"/>
          <w:sz w:val="28"/>
          <w:szCs w:val="28"/>
        </w:rPr>
        <w:t>[2020]17</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a9"/>
        <w:widowControl/>
        <w:numPr>
          <w:ilvl w:val="0"/>
          <w:numId w:val="2"/>
        </w:numPr>
        <w:spacing w:before="0" w:beforeAutospacing="0" w:after="0" w:afterAutospacing="0" w:line="360" w:lineRule="auto"/>
        <w:ind w:left="0"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《长治市生态环境局黎城分局关于太行一号旅游公路长治市县道西东线（西井至板山段）工程项目项目环境影响评价报告表的批复》</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长黎环审</w:t>
      </w:r>
      <w:r>
        <w:rPr>
          <w:rFonts w:ascii="仿宋_GB2312" w:eastAsia="仿宋_GB2312" w:hAnsi="仿宋_GB2312" w:cs="仿宋_GB2312" w:hint="eastAsia"/>
          <w:kern w:val="2"/>
          <w:sz w:val="28"/>
          <w:szCs w:val="28"/>
        </w:rPr>
        <w:t>[2020]9</w:t>
      </w:r>
      <w:r>
        <w:rPr>
          <w:rFonts w:ascii="仿宋_GB2312" w:eastAsia="仿宋_GB2312" w:hAnsi="仿宋_GB2312" w:cs="仿宋_GB2312" w:hint="eastAsia"/>
          <w:kern w:val="2"/>
          <w:sz w:val="28"/>
          <w:szCs w:val="28"/>
        </w:rPr>
        <w:t>号</w:t>
      </w:r>
      <w:r>
        <w:rPr>
          <w:rFonts w:ascii="仿宋_GB2312" w:eastAsia="仿宋_GB2312" w:hAnsi="仿宋_GB2312" w:cs="仿宋_GB2312" w:hint="eastAsia"/>
          <w:kern w:val="2"/>
          <w:sz w:val="28"/>
          <w:szCs w:val="28"/>
        </w:rPr>
        <w:t>）</w:t>
      </w:r>
    </w:p>
    <w:p w:rsidR="00F55CEE" w:rsidRDefault="001145CC">
      <w:pPr>
        <w:pStyle w:val="2"/>
        <w:spacing w:before="0" w:line="360" w:lineRule="auto"/>
        <w:ind w:firstLineChars="200" w:firstLine="560"/>
        <w:rPr>
          <w:rFonts w:ascii="楷体_GB2312" w:eastAsia="楷体_GB2312" w:hAnsi="楷体_GB2312" w:cs="楷体_GB2312"/>
          <w:b w:val="0"/>
          <w:bCs w:val="0"/>
          <w:sz w:val="28"/>
          <w:szCs w:val="28"/>
        </w:rPr>
      </w:pPr>
      <w:bookmarkStart w:id="79" w:name="_Toc5837"/>
      <w:bookmarkStart w:id="80" w:name="_Toc17062"/>
      <w:bookmarkStart w:id="81" w:name="_Toc31752"/>
      <w:bookmarkStart w:id="82" w:name="_Toc432"/>
      <w:bookmarkStart w:id="83" w:name="_Toc27643"/>
      <w:bookmarkStart w:id="84" w:name="_Toc184"/>
      <w:bookmarkStart w:id="85" w:name="_Toc31326"/>
      <w:bookmarkStart w:id="86" w:name="_Toc19097"/>
      <w:bookmarkStart w:id="87" w:name="_Toc24631"/>
      <w:bookmarkStart w:id="88" w:name="_Toc26891"/>
      <w:bookmarkStart w:id="89" w:name="_Toc7386"/>
      <w:bookmarkStart w:id="90" w:name="_Toc20035"/>
      <w:r>
        <w:rPr>
          <w:rFonts w:ascii="楷体_GB2312" w:eastAsia="楷体_GB2312" w:hAnsi="楷体_GB2312" w:cs="楷体_GB2312" w:hint="eastAsia"/>
          <w:b w:val="0"/>
          <w:bCs w:val="0"/>
          <w:sz w:val="28"/>
          <w:szCs w:val="28"/>
        </w:rPr>
        <w:t>（三）项目预算及资金</w:t>
      </w:r>
      <w:bookmarkEnd w:id="79"/>
      <w:bookmarkEnd w:id="80"/>
      <w:bookmarkEnd w:id="81"/>
      <w:bookmarkEnd w:id="82"/>
      <w:bookmarkEnd w:id="83"/>
      <w:bookmarkEnd w:id="84"/>
      <w:bookmarkEnd w:id="85"/>
      <w:bookmarkEnd w:id="86"/>
      <w:bookmarkEnd w:id="87"/>
      <w:bookmarkEnd w:id="88"/>
      <w:bookmarkEnd w:id="89"/>
      <w:r>
        <w:rPr>
          <w:rFonts w:ascii="楷体_GB2312" w:eastAsia="楷体_GB2312" w:hAnsi="楷体_GB2312" w:cs="楷体_GB2312" w:hint="eastAsia"/>
          <w:b w:val="0"/>
          <w:bCs w:val="0"/>
          <w:sz w:val="28"/>
          <w:szCs w:val="28"/>
        </w:rPr>
        <w:t>使用</w:t>
      </w:r>
      <w:bookmarkEnd w:id="90"/>
    </w:p>
    <w:p w:rsidR="00F55CEE" w:rsidRDefault="001145CC">
      <w:pPr>
        <w:ind w:firstLineChars="200" w:firstLine="560"/>
        <w:rPr>
          <w:rFonts w:ascii="仿宋_GB2312" w:eastAsia="仿宋_GB2312" w:hAnsi="仿宋_GB2312" w:cs="仿宋_GB2312"/>
          <w:kern w:val="0"/>
          <w:sz w:val="28"/>
          <w:szCs w:val="28"/>
        </w:rPr>
      </w:pPr>
      <w:bookmarkStart w:id="91" w:name="_Toc30793"/>
      <w:bookmarkStart w:id="92" w:name="_Toc7437"/>
      <w:bookmarkStart w:id="93" w:name="_Toc27745"/>
      <w:bookmarkStart w:id="94" w:name="_Toc32011"/>
      <w:bookmarkStart w:id="95" w:name="_Toc11264"/>
      <w:bookmarkStart w:id="96" w:name="_Toc15486"/>
      <w:bookmarkStart w:id="97" w:name="_Toc13225"/>
      <w:bookmarkStart w:id="98" w:name="_Toc6673"/>
      <w:bookmarkStart w:id="99" w:name="_Toc13961"/>
      <w:bookmarkStart w:id="100" w:name="_Toc4635"/>
      <w:bookmarkStart w:id="101" w:name="_Toc20377"/>
      <w:r>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项目预算及资金来源</w:t>
      </w:r>
    </w:p>
    <w:p w:rsidR="00F55CEE" w:rsidRDefault="001145CC">
      <w:pPr>
        <w:ind w:firstLineChars="200" w:firstLine="560"/>
        <w:rPr>
          <w:rFonts w:ascii="仿宋_GB2312" w:eastAsia="仿宋_GB2312" w:hAnsi="仿宋_GB2312" w:cs="仿宋_GB2312"/>
          <w:sz w:val="28"/>
          <w:szCs w:val="28"/>
        </w:rPr>
      </w:pPr>
      <w:bookmarkStart w:id="102" w:name="OLE_LINK1"/>
      <w:r>
        <w:rPr>
          <w:rFonts w:ascii="仿宋_GB2312" w:eastAsia="仿宋_GB2312" w:hAnsi="仿宋_GB2312" w:cs="仿宋_GB2312" w:hint="eastAsia"/>
          <w:sz w:val="28"/>
          <w:szCs w:val="28"/>
        </w:rPr>
        <w:t>根据可研报告及项目预算，本项目估算总投资为</w:t>
      </w:r>
      <w:r>
        <w:rPr>
          <w:rFonts w:ascii="仿宋_GB2312" w:eastAsia="仿宋_GB2312" w:hAnsi="仿宋_GB2312" w:cs="仿宋_GB2312" w:hint="eastAsia"/>
          <w:sz w:val="28"/>
          <w:szCs w:val="28"/>
        </w:rPr>
        <w:t>22711.9836</w:t>
      </w:r>
      <w:r>
        <w:rPr>
          <w:rFonts w:ascii="仿宋_GB2312" w:eastAsia="仿宋_GB2312" w:hAnsi="仿宋_GB2312" w:cs="仿宋_GB2312" w:hint="eastAsia"/>
          <w:sz w:val="28"/>
          <w:szCs w:val="28"/>
        </w:rPr>
        <w:t>万元。投资估算明细为：太行板块旅游公路长治市黎城县白岩寺旅游公路工程，总投资</w:t>
      </w:r>
      <w:r>
        <w:rPr>
          <w:rFonts w:ascii="仿宋_GB2312" w:eastAsia="仿宋_GB2312" w:hAnsi="仿宋_GB2312" w:cs="仿宋_GB2312" w:hint="eastAsia"/>
          <w:sz w:val="28"/>
          <w:szCs w:val="28"/>
        </w:rPr>
        <w:t>2918.2687</w:t>
      </w:r>
      <w:r>
        <w:rPr>
          <w:rFonts w:ascii="仿宋_GB2312" w:eastAsia="仿宋_GB2312" w:hAnsi="仿宋_GB2312" w:cs="仿宋_GB2312" w:hint="eastAsia"/>
          <w:sz w:val="28"/>
          <w:szCs w:val="28"/>
        </w:rPr>
        <w:t>万元；太行板块旅游公路长治市黎城县</w:t>
      </w:r>
      <w:r>
        <w:rPr>
          <w:rFonts w:ascii="仿宋_GB2312" w:eastAsia="仿宋_GB2312" w:hAnsi="仿宋_GB2312" w:cs="仿宋_GB2312" w:hint="eastAsia"/>
          <w:sz w:val="28"/>
          <w:szCs w:val="28"/>
        </w:rPr>
        <w:t>北泉寨至</w:t>
      </w:r>
      <w:r>
        <w:rPr>
          <w:rFonts w:ascii="仿宋_GB2312" w:eastAsia="仿宋_GB2312" w:hAnsi="仿宋_GB2312" w:cs="仿宋_GB2312" w:hint="eastAsia"/>
          <w:sz w:val="28"/>
          <w:szCs w:val="28"/>
        </w:rPr>
        <w:t>后家滩</w:t>
      </w:r>
      <w:r>
        <w:rPr>
          <w:rFonts w:ascii="仿宋_GB2312" w:eastAsia="仿宋_GB2312" w:hAnsi="仿宋_GB2312" w:cs="仿宋_GB2312" w:hint="eastAsia"/>
          <w:sz w:val="28"/>
          <w:szCs w:val="28"/>
        </w:rPr>
        <w:t>段</w:t>
      </w:r>
      <w:r>
        <w:rPr>
          <w:rFonts w:ascii="仿宋_GB2312" w:eastAsia="仿宋_GB2312" w:hAnsi="仿宋_GB2312" w:cs="仿宋_GB2312" w:hint="eastAsia"/>
          <w:sz w:val="28"/>
          <w:szCs w:val="28"/>
        </w:rPr>
        <w:t>旅游公路工程，总投资</w:t>
      </w:r>
      <w:r>
        <w:rPr>
          <w:rFonts w:ascii="仿宋_GB2312" w:eastAsia="仿宋_GB2312" w:hAnsi="仿宋_GB2312" w:cs="仿宋_GB2312" w:hint="eastAsia"/>
          <w:sz w:val="28"/>
          <w:szCs w:val="28"/>
        </w:rPr>
        <w:t>8228.488</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黎城县龙洞景区旅游公路（</w:t>
      </w:r>
      <w:r>
        <w:rPr>
          <w:rFonts w:ascii="仿宋_GB2312" w:eastAsia="仿宋_GB2312" w:hAnsi="仿宋_GB2312" w:cs="仿宋_GB2312" w:hint="eastAsia"/>
          <w:sz w:val="28"/>
          <w:szCs w:val="28"/>
        </w:rPr>
        <w:t>杨家庄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龙洞）</w:t>
      </w:r>
      <w:r>
        <w:rPr>
          <w:rFonts w:ascii="仿宋_GB2312" w:eastAsia="仿宋_GB2312" w:hAnsi="仿宋_GB2312" w:cs="仿宋_GB2312" w:hint="eastAsia"/>
          <w:sz w:val="28"/>
          <w:szCs w:val="28"/>
        </w:rPr>
        <w:t>一期工程</w:t>
      </w:r>
      <w:r>
        <w:rPr>
          <w:rFonts w:ascii="仿宋_GB2312" w:eastAsia="仿宋_GB2312" w:hAnsi="仿宋_GB2312" w:cs="仿宋_GB2312" w:hint="eastAsia"/>
          <w:sz w:val="28"/>
          <w:szCs w:val="28"/>
        </w:rPr>
        <w:t>项目，总投资</w:t>
      </w:r>
      <w:r>
        <w:rPr>
          <w:rFonts w:ascii="仿宋_GB2312" w:eastAsia="仿宋_GB2312" w:hAnsi="仿宋_GB2312" w:cs="仿宋_GB2312" w:hint="eastAsia"/>
          <w:sz w:val="28"/>
          <w:szCs w:val="28"/>
        </w:rPr>
        <w:t>4138.4451</w:t>
      </w:r>
      <w:r>
        <w:rPr>
          <w:rFonts w:ascii="仿宋_GB2312" w:eastAsia="仿宋_GB2312" w:hAnsi="仿宋_GB2312" w:cs="仿宋_GB2312" w:hint="eastAsia"/>
          <w:sz w:val="28"/>
          <w:szCs w:val="28"/>
        </w:rPr>
        <w:t>万元；太行一号旅游公路长治</w:t>
      </w:r>
      <w:r>
        <w:rPr>
          <w:rFonts w:ascii="仿宋_GB2312" w:eastAsia="仿宋_GB2312" w:hAnsi="仿宋_GB2312" w:cs="仿宋_GB2312" w:hint="eastAsia"/>
          <w:sz w:val="28"/>
          <w:szCs w:val="28"/>
        </w:rPr>
        <w:t>市</w:t>
      </w:r>
      <w:r>
        <w:rPr>
          <w:rFonts w:ascii="仿宋_GB2312" w:eastAsia="仿宋_GB2312" w:hAnsi="仿宋_GB2312" w:cs="仿宋_GB2312" w:hint="eastAsia"/>
          <w:sz w:val="28"/>
          <w:szCs w:val="28"/>
        </w:rPr>
        <w:t>县道西东线（西井至板山段）工程，总投资</w:t>
      </w:r>
      <w:r>
        <w:rPr>
          <w:rFonts w:ascii="仿宋_GB2312" w:eastAsia="仿宋_GB2312" w:hAnsi="仿宋_GB2312" w:cs="仿宋_GB2312" w:hint="eastAsia"/>
          <w:sz w:val="28"/>
          <w:szCs w:val="28"/>
        </w:rPr>
        <w:t>7426.7818</w:t>
      </w:r>
      <w:r>
        <w:rPr>
          <w:rFonts w:ascii="仿宋_GB2312" w:eastAsia="仿宋_GB2312" w:hAnsi="仿宋_GB2312" w:cs="仿宋_GB2312" w:hint="eastAsia"/>
          <w:sz w:val="28"/>
          <w:szCs w:val="28"/>
        </w:rPr>
        <w:t>万元。</w:t>
      </w:r>
    </w:p>
    <w:p w:rsidR="00F55CEE" w:rsidRDefault="001145C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截至</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31</w:t>
      </w:r>
      <w:r>
        <w:rPr>
          <w:rFonts w:ascii="仿宋_GB2312" w:eastAsia="仿宋_GB2312" w:hAnsi="仿宋_GB2312" w:cs="仿宋_GB2312" w:hint="eastAsia"/>
          <w:sz w:val="28"/>
          <w:szCs w:val="28"/>
        </w:rPr>
        <w:t>日，该项目到位资金</w:t>
      </w:r>
      <w:r>
        <w:rPr>
          <w:rFonts w:ascii="仿宋_GB2312" w:eastAsia="仿宋_GB2312" w:hAnsi="仿宋_GB2312" w:cs="仿宋_GB2312" w:hint="eastAsia"/>
          <w:sz w:val="28"/>
          <w:szCs w:val="28"/>
        </w:rPr>
        <w:t>19705.5</w:t>
      </w:r>
      <w:r>
        <w:rPr>
          <w:rFonts w:ascii="仿宋_GB2312" w:eastAsia="仿宋_GB2312" w:hAnsi="仿宋_GB2312" w:cs="仿宋_GB2312" w:hint="eastAsia"/>
          <w:sz w:val="28"/>
          <w:szCs w:val="28"/>
        </w:rPr>
        <w:t>万元，约为总投资预算额的</w:t>
      </w:r>
      <w:r>
        <w:rPr>
          <w:rFonts w:ascii="仿宋_GB2312" w:eastAsia="仿宋_GB2312" w:hAnsi="仿宋_GB2312" w:cs="仿宋_GB2312" w:hint="eastAsia"/>
          <w:sz w:val="28"/>
          <w:szCs w:val="28"/>
        </w:rPr>
        <w:t>86.76%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 xml:space="preserve"> 2</w:t>
      </w:r>
      <w:r>
        <w:rPr>
          <w:rFonts w:ascii="仿宋_GB2312" w:eastAsia="仿宋_GB2312" w:hAnsi="仿宋_GB2312" w:cs="仿宋_GB2312" w:hint="eastAsia"/>
          <w:sz w:val="28"/>
          <w:szCs w:val="28"/>
        </w:rPr>
        <w:t>020</w:t>
      </w:r>
      <w:r>
        <w:rPr>
          <w:rFonts w:ascii="仿宋_GB2312" w:eastAsia="仿宋_GB2312" w:hAnsi="仿宋_GB2312" w:cs="仿宋_GB2312" w:hint="eastAsia"/>
          <w:sz w:val="28"/>
          <w:szCs w:val="28"/>
        </w:rPr>
        <w:t>年预算资金到位</w:t>
      </w:r>
      <w:r>
        <w:rPr>
          <w:rFonts w:ascii="仿宋_GB2312" w:eastAsia="仿宋_GB2312" w:hAnsi="仿宋_GB2312" w:cs="仿宋_GB2312" w:hint="eastAsia"/>
          <w:sz w:val="28"/>
          <w:szCs w:val="28"/>
        </w:rPr>
        <w:t>4368.00</w:t>
      </w:r>
      <w:r>
        <w:rPr>
          <w:rFonts w:ascii="仿宋_GB2312" w:eastAsia="仿宋_GB2312" w:hAnsi="仿宋_GB2312" w:cs="仿宋_GB2312" w:hint="eastAsia"/>
          <w:sz w:val="28"/>
          <w:szCs w:val="28"/>
        </w:rPr>
        <w:t>万元为此次评</w:t>
      </w:r>
      <w:r>
        <w:rPr>
          <w:rFonts w:ascii="仿宋_GB2312" w:eastAsia="仿宋_GB2312" w:hAnsi="仿宋_GB2312" w:cs="仿宋_GB2312" w:hint="eastAsia"/>
          <w:sz w:val="28"/>
          <w:szCs w:val="28"/>
        </w:rPr>
        <w:lastRenderedPageBreak/>
        <w:t>价的项目资金。</w:t>
      </w:r>
      <w:r>
        <w:rPr>
          <w:rFonts w:ascii="仿宋_GB2312" w:eastAsia="仿宋_GB2312" w:hAnsi="仿宋_GB2312" w:cs="仿宋_GB2312" w:hint="eastAsia"/>
          <w:sz w:val="28"/>
          <w:szCs w:val="28"/>
        </w:rPr>
        <w:t>依据</w:t>
      </w:r>
      <w:r>
        <w:rPr>
          <w:rFonts w:ascii="仿宋_GB2312" w:eastAsia="仿宋_GB2312" w:hAnsi="仿宋_GB2312" w:cs="仿宋_GB2312" w:hint="eastAsia"/>
          <w:sz w:val="28"/>
          <w:szCs w:val="28"/>
        </w:rPr>
        <w:t>《长治市财政局关于提前下达</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年交通建设项目资金（第一批）支出预算的通知》（长财建一〔</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号）</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长治市</w:t>
      </w:r>
      <w:r>
        <w:rPr>
          <w:rFonts w:ascii="仿宋_GB2312" w:eastAsia="仿宋_GB2312" w:hAnsi="仿宋_GB2312" w:cs="仿宋_GB2312" w:hint="eastAsia"/>
          <w:sz w:val="28"/>
          <w:szCs w:val="28"/>
        </w:rPr>
        <w:t>财政局关于下达</w:t>
      </w:r>
      <w:r>
        <w:rPr>
          <w:rFonts w:ascii="仿宋_GB2312" w:eastAsia="仿宋_GB2312" w:hAnsi="仿宋_GB2312" w:cs="仿宋_GB2312" w:hint="eastAsia"/>
          <w:sz w:val="28"/>
          <w:szCs w:val="28"/>
        </w:rPr>
        <w:t>农村公路建设项目市级补助资金的通知</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长财建一</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83</w:t>
      </w:r>
      <w:r>
        <w:rPr>
          <w:rFonts w:ascii="仿宋_GB2312" w:eastAsia="仿宋_GB2312" w:hAnsi="仿宋_GB2312" w:cs="仿宋_GB2312" w:hint="eastAsia"/>
          <w:sz w:val="28"/>
          <w:szCs w:val="28"/>
        </w:rPr>
        <w:t>号）</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共下拨资金</w:t>
      </w:r>
      <w:r>
        <w:rPr>
          <w:rFonts w:ascii="仿宋_GB2312" w:eastAsia="仿宋_GB2312" w:hAnsi="仿宋_GB2312" w:cs="仿宋_GB2312" w:hint="eastAsia"/>
          <w:sz w:val="28"/>
          <w:szCs w:val="28"/>
        </w:rPr>
        <w:t>4368.00</w:t>
      </w:r>
      <w:r>
        <w:rPr>
          <w:rFonts w:ascii="仿宋_GB2312" w:eastAsia="仿宋_GB2312" w:hAnsi="仿宋_GB2312" w:cs="仿宋_GB2312" w:hint="eastAsia"/>
          <w:sz w:val="28"/>
          <w:szCs w:val="28"/>
        </w:rPr>
        <w:t>万元，已</w:t>
      </w:r>
      <w:r>
        <w:rPr>
          <w:rFonts w:ascii="仿宋_GB2312" w:eastAsia="仿宋_GB2312" w:hAnsi="仿宋_GB2312" w:cs="仿宋_GB2312" w:hint="eastAsia"/>
          <w:sz w:val="28"/>
          <w:szCs w:val="28"/>
        </w:rPr>
        <w:t>拨入黎城县交通运输局账户</w:t>
      </w:r>
      <w:r>
        <w:rPr>
          <w:rFonts w:ascii="仿宋_GB2312" w:eastAsia="仿宋_GB2312" w:hAnsi="仿宋_GB2312" w:cs="仿宋_GB2312" w:hint="eastAsia"/>
          <w:sz w:val="28"/>
          <w:szCs w:val="28"/>
        </w:rPr>
        <w:t>。</w:t>
      </w:r>
    </w:p>
    <w:bookmarkEnd w:id="102"/>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项目资金使用情况</w:t>
      </w:r>
    </w:p>
    <w:p w:rsidR="00F55CEE" w:rsidRDefault="001145CC">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根据黎城县交通局提供财务资料，截至</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31</w:t>
      </w:r>
      <w:r>
        <w:rPr>
          <w:rFonts w:ascii="仿宋_GB2312" w:eastAsia="仿宋_GB2312" w:hAnsi="仿宋_GB2312" w:cs="仿宋_GB2312" w:hint="eastAsia"/>
          <w:sz w:val="28"/>
          <w:szCs w:val="28"/>
        </w:rPr>
        <w:t>日，该项目共使用</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年省市预算财政拨款资金</w:t>
      </w:r>
      <w:r>
        <w:rPr>
          <w:rFonts w:ascii="仿宋_GB2312" w:eastAsia="仿宋_GB2312" w:hAnsi="仿宋_GB2312" w:cs="仿宋_GB2312" w:hint="eastAsia"/>
          <w:sz w:val="28"/>
          <w:szCs w:val="28"/>
        </w:rPr>
        <w:t>1402.20</w:t>
      </w:r>
      <w:r>
        <w:rPr>
          <w:rFonts w:ascii="仿宋_GB2312" w:eastAsia="仿宋_GB2312" w:hAnsi="仿宋_GB2312" w:cs="仿宋_GB2312" w:hint="eastAsia"/>
          <w:sz w:val="28"/>
          <w:szCs w:val="28"/>
        </w:rPr>
        <w:t>万元，具体资金使用情况见下表。</w:t>
      </w:r>
    </w:p>
    <w:p w:rsidR="00F55CEE" w:rsidRDefault="001145CC">
      <w:pPr>
        <w:pStyle w:val="a0"/>
        <w:spacing w:after="0" w:line="360" w:lineRule="auto"/>
        <w:jc w:val="center"/>
        <w:rPr>
          <w:rFonts w:ascii="仿宋_GB2312" w:eastAsia="仿宋_GB2312" w:hAnsi="仿宋_GB2312" w:cs="仿宋_GB2312"/>
          <w:b/>
          <w:bCs/>
          <w:sz w:val="24"/>
        </w:rPr>
      </w:pPr>
      <w:r>
        <w:rPr>
          <w:rFonts w:ascii="仿宋_GB2312" w:eastAsia="仿宋_GB2312" w:hAnsi="仿宋_GB2312" w:cs="仿宋_GB2312" w:hint="eastAsia"/>
          <w:b/>
          <w:bCs/>
          <w:sz w:val="24"/>
        </w:rPr>
        <w:t>表</w:t>
      </w:r>
      <w:r>
        <w:rPr>
          <w:rFonts w:ascii="仿宋_GB2312" w:eastAsia="仿宋_GB2312" w:hAnsi="仿宋_GB2312" w:cs="仿宋_GB2312" w:hint="eastAsia"/>
          <w:b/>
          <w:bCs/>
          <w:sz w:val="24"/>
        </w:rPr>
        <w:t>1-1</w:t>
      </w:r>
      <w:r>
        <w:rPr>
          <w:rFonts w:ascii="仿宋_GB2312" w:eastAsia="仿宋_GB2312" w:hAnsi="仿宋_GB2312" w:cs="仿宋_GB2312" w:hint="eastAsia"/>
          <w:b/>
          <w:bCs/>
          <w:sz w:val="24"/>
        </w:rPr>
        <w:t>：</w:t>
      </w:r>
      <w:r>
        <w:rPr>
          <w:rFonts w:ascii="仿宋_GB2312" w:eastAsia="仿宋_GB2312" w:hAnsi="仿宋_GB2312" w:cs="仿宋_GB2312" w:hint="eastAsia"/>
          <w:b/>
          <w:bCs/>
          <w:sz w:val="24"/>
        </w:rPr>
        <w:t>2020</w:t>
      </w:r>
      <w:r>
        <w:rPr>
          <w:rFonts w:ascii="仿宋_GB2312" w:eastAsia="仿宋_GB2312" w:hAnsi="仿宋_GB2312" w:cs="仿宋_GB2312" w:hint="eastAsia"/>
          <w:b/>
          <w:bCs/>
          <w:sz w:val="24"/>
        </w:rPr>
        <w:t>年三大板块旅游公路建设资金使用情况表</w:t>
      </w:r>
    </w:p>
    <w:p w:rsidR="00F55CEE" w:rsidRDefault="001145CC">
      <w:pPr>
        <w:pStyle w:val="a0"/>
        <w:spacing w:after="0" w:line="360" w:lineRule="auto"/>
        <w:jc w:val="center"/>
        <w:rPr>
          <w:rFonts w:ascii="仿宋_GB2312" w:eastAsia="仿宋_GB2312" w:hAnsi="仿宋_GB2312" w:cs="仿宋_GB2312"/>
          <w:b/>
          <w:bCs/>
          <w:sz w:val="24"/>
        </w:rPr>
      </w:pPr>
      <w:r>
        <w:rPr>
          <w:rFonts w:ascii="仿宋_GB2312" w:eastAsia="仿宋_GB2312" w:hAnsi="仿宋_GB2312" w:cs="仿宋_GB2312" w:hint="eastAsia"/>
          <w:bCs/>
          <w:sz w:val="24"/>
        </w:rPr>
        <w:t>单位：元</w:t>
      </w:r>
    </w:p>
    <w:tbl>
      <w:tblPr>
        <w:tblW w:w="8157" w:type="dxa"/>
        <w:tblLayout w:type="fixed"/>
        <w:tblLook w:val="04A0"/>
      </w:tblPr>
      <w:tblGrid>
        <w:gridCol w:w="2380"/>
        <w:gridCol w:w="1864"/>
        <w:gridCol w:w="2049"/>
        <w:gridCol w:w="1864"/>
      </w:tblGrid>
      <w:tr w:rsidR="00F55CEE">
        <w:trPr>
          <w:trHeight w:val="454"/>
        </w:trPr>
        <w:tc>
          <w:tcPr>
            <w:tcW w:w="2380"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F55CEE" w:rsidRDefault="001145CC">
            <w:pPr>
              <w:widowControl/>
              <w:jc w:val="center"/>
              <w:textAlignment w:val="center"/>
              <w:rPr>
                <w:rFonts w:ascii="楷体_GB2312" w:eastAsia="楷体_GB2312" w:hAnsi="宋体" w:cs="楷体_GB2312"/>
                <w:b/>
                <w:bCs/>
                <w:color w:val="000000"/>
                <w:sz w:val="20"/>
                <w:szCs w:val="20"/>
              </w:rPr>
            </w:pPr>
            <w:r>
              <w:rPr>
                <w:rFonts w:ascii="楷体_GB2312" w:eastAsia="楷体_GB2312" w:hAnsi="宋体" w:cs="楷体_GB2312" w:hint="eastAsia"/>
                <w:b/>
                <w:bCs/>
                <w:color w:val="000000"/>
                <w:sz w:val="20"/>
                <w:szCs w:val="20"/>
              </w:rPr>
              <w:t>下拨资金文号及金额</w:t>
            </w:r>
          </w:p>
        </w:tc>
        <w:tc>
          <w:tcPr>
            <w:tcW w:w="1864"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F55CEE" w:rsidRDefault="001145CC">
            <w:pPr>
              <w:widowControl/>
              <w:jc w:val="center"/>
              <w:textAlignment w:val="center"/>
              <w:rPr>
                <w:rFonts w:ascii="楷体_GB2312" w:eastAsia="楷体_GB2312" w:hAnsi="宋体" w:cs="楷体_GB2312"/>
                <w:b/>
                <w:bCs/>
                <w:color w:val="000000"/>
                <w:sz w:val="20"/>
                <w:szCs w:val="20"/>
              </w:rPr>
            </w:pPr>
            <w:r>
              <w:rPr>
                <w:rFonts w:ascii="楷体_GB2312" w:eastAsia="楷体_GB2312" w:hAnsi="宋体" w:cs="楷体_GB2312"/>
                <w:b/>
                <w:bCs/>
                <w:color w:val="000000"/>
                <w:kern w:val="0"/>
                <w:sz w:val="20"/>
                <w:szCs w:val="20"/>
                <w:lang/>
              </w:rPr>
              <w:t>路段</w:t>
            </w:r>
          </w:p>
        </w:tc>
        <w:tc>
          <w:tcPr>
            <w:tcW w:w="2049"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F55CEE" w:rsidRDefault="001145CC">
            <w:pPr>
              <w:widowControl/>
              <w:jc w:val="center"/>
              <w:textAlignment w:val="center"/>
              <w:rPr>
                <w:rFonts w:ascii="楷体_GB2312" w:eastAsia="楷体_GB2312" w:hAnsi="宋体" w:cs="楷体_GB2312"/>
                <w:b/>
                <w:bCs/>
                <w:color w:val="000000"/>
                <w:sz w:val="20"/>
                <w:szCs w:val="20"/>
              </w:rPr>
            </w:pPr>
            <w:r>
              <w:rPr>
                <w:rFonts w:ascii="楷体_GB2312" w:eastAsia="楷体_GB2312" w:hAnsi="宋体" w:cs="楷体_GB2312"/>
                <w:b/>
                <w:bCs/>
                <w:color w:val="000000"/>
                <w:kern w:val="0"/>
                <w:sz w:val="20"/>
                <w:szCs w:val="20"/>
                <w:lang/>
              </w:rPr>
              <w:t>用途</w:t>
            </w:r>
          </w:p>
        </w:tc>
        <w:tc>
          <w:tcPr>
            <w:tcW w:w="1864"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F55CEE" w:rsidRDefault="001145CC">
            <w:pPr>
              <w:widowControl/>
              <w:jc w:val="center"/>
              <w:textAlignment w:val="center"/>
              <w:rPr>
                <w:rFonts w:ascii="楷体_GB2312" w:eastAsia="楷体_GB2312" w:hAnsi="宋体" w:cs="楷体_GB2312"/>
                <w:b/>
                <w:bCs/>
                <w:color w:val="000000"/>
                <w:sz w:val="20"/>
                <w:szCs w:val="20"/>
              </w:rPr>
            </w:pPr>
            <w:r>
              <w:rPr>
                <w:rFonts w:ascii="楷体_GB2312" w:eastAsia="楷体_GB2312" w:hAnsi="宋体" w:cs="楷体_GB2312"/>
                <w:b/>
                <w:bCs/>
                <w:color w:val="000000"/>
                <w:kern w:val="0"/>
                <w:sz w:val="20"/>
                <w:szCs w:val="20"/>
                <w:lang/>
              </w:rPr>
              <w:t>支付金额</w:t>
            </w:r>
          </w:p>
        </w:tc>
      </w:tr>
      <w:tr w:rsidR="00F55CEE">
        <w:trPr>
          <w:trHeight w:val="454"/>
        </w:trPr>
        <w:tc>
          <w:tcPr>
            <w:tcW w:w="2380" w:type="dxa"/>
            <w:vMerge w:val="restart"/>
            <w:tcBorders>
              <w:top w:val="single" w:sz="4" w:space="0" w:color="000000"/>
              <w:left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长财建一〔</w:t>
            </w:r>
            <w:r>
              <w:rPr>
                <w:rFonts w:ascii="楷体_GB2312" w:eastAsia="楷体_GB2312" w:hAnsi="宋体" w:cs="楷体_GB2312"/>
                <w:color w:val="000000"/>
                <w:kern w:val="0"/>
                <w:sz w:val="20"/>
                <w:szCs w:val="20"/>
                <w:lang/>
              </w:rPr>
              <w:t>2020</w:t>
            </w:r>
            <w:r>
              <w:rPr>
                <w:rFonts w:ascii="楷体_GB2312" w:eastAsia="楷体_GB2312" w:hAnsi="宋体" w:cs="楷体_GB2312"/>
                <w:color w:val="000000"/>
                <w:kern w:val="0"/>
                <w:sz w:val="20"/>
                <w:szCs w:val="20"/>
                <w:lang/>
              </w:rPr>
              <w:t>〕</w:t>
            </w:r>
            <w:r>
              <w:rPr>
                <w:rFonts w:ascii="楷体_GB2312" w:eastAsia="楷体_GB2312" w:hAnsi="宋体" w:cs="楷体_GB2312"/>
                <w:color w:val="000000"/>
                <w:kern w:val="0"/>
                <w:sz w:val="20"/>
                <w:szCs w:val="20"/>
                <w:lang/>
              </w:rPr>
              <w:t>5</w:t>
            </w:r>
            <w:r>
              <w:rPr>
                <w:rFonts w:ascii="楷体_GB2312" w:eastAsia="楷体_GB2312" w:hAnsi="宋体" w:cs="楷体_GB2312"/>
                <w:color w:val="000000"/>
                <w:kern w:val="0"/>
                <w:sz w:val="20"/>
                <w:szCs w:val="20"/>
                <w:lang/>
              </w:rPr>
              <w:t>号</w:t>
            </w:r>
          </w:p>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32,630,000.00 </w:t>
            </w:r>
          </w:p>
        </w:tc>
        <w:tc>
          <w:tcPr>
            <w:tcW w:w="18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1145CC">
            <w:pPr>
              <w:widowControl/>
              <w:jc w:val="center"/>
              <w:textAlignment w:val="center"/>
              <w:rPr>
                <w:rFonts w:ascii="楷体_GB2312" w:eastAsia="楷体_GB2312" w:hAnsi="宋体" w:cs="楷体_GB2312"/>
                <w:color w:val="000000"/>
                <w:sz w:val="24"/>
              </w:rPr>
            </w:pPr>
            <w:r>
              <w:rPr>
                <w:rFonts w:ascii="楷体_GB2312" w:eastAsia="楷体_GB2312" w:hAnsi="宋体" w:cs="楷体_GB2312"/>
                <w:color w:val="000000"/>
                <w:kern w:val="0"/>
                <w:sz w:val="24"/>
                <w:lang/>
              </w:rPr>
              <w:t>港东</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白岩寺</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工程款</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1,660,000.00 </w:t>
            </w:r>
          </w:p>
        </w:tc>
      </w:tr>
      <w:tr w:rsidR="00F55CEE">
        <w:trPr>
          <w:trHeight w:val="454"/>
        </w:trPr>
        <w:tc>
          <w:tcPr>
            <w:tcW w:w="2380" w:type="dxa"/>
            <w:vMerge/>
            <w:tcBorders>
              <w:left w:val="single" w:sz="4" w:space="0" w:color="000000"/>
              <w:right w:val="single" w:sz="4" w:space="0" w:color="000000"/>
            </w:tcBorders>
            <w:shd w:val="clear" w:color="auto" w:fill="auto"/>
            <w:vAlign w:val="center"/>
          </w:tcPr>
          <w:p w:rsidR="00F55CEE" w:rsidRDefault="00F55CEE">
            <w:pPr>
              <w:widowControl/>
              <w:jc w:val="center"/>
              <w:textAlignment w:val="center"/>
              <w:rPr>
                <w:rFonts w:ascii="楷体_GB2312" w:eastAsia="楷体_GB2312" w:hAnsi="宋体" w:cs="楷体_GB2312"/>
                <w:color w:val="000000"/>
                <w:kern w:val="0"/>
                <w:sz w:val="20"/>
                <w:szCs w:val="20"/>
                <w:lang/>
              </w:rPr>
            </w:pPr>
          </w:p>
        </w:tc>
        <w:tc>
          <w:tcPr>
            <w:tcW w:w="1864" w:type="dxa"/>
            <w:vMerge w:val="restart"/>
            <w:tcBorders>
              <w:top w:val="single" w:sz="4" w:space="0" w:color="000000"/>
              <w:left w:val="single" w:sz="4" w:space="0" w:color="000000"/>
              <w:right w:val="single" w:sz="4" w:space="0" w:color="000000"/>
            </w:tcBorders>
            <w:shd w:val="clear" w:color="auto" w:fill="auto"/>
            <w:noWrap/>
            <w:vAlign w:val="center"/>
          </w:tcPr>
          <w:p w:rsidR="00F55CEE" w:rsidRDefault="001145CC">
            <w:pPr>
              <w:widowControl/>
              <w:jc w:val="center"/>
              <w:textAlignment w:val="center"/>
              <w:rPr>
                <w:rFonts w:ascii="楷体_GB2312" w:eastAsia="楷体_GB2312" w:hAnsi="宋体" w:cs="楷体_GB2312"/>
                <w:color w:val="000000"/>
                <w:sz w:val="24"/>
              </w:rPr>
            </w:pPr>
            <w:r>
              <w:rPr>
                <w:rFonts w:ascii="楷体_GB2312" w:eastAsia="楷体_GB2312" w:hAnsi="宋体" w:cs="楷体_GB2312"/>
                <w:color w:val="000000"/>
                <w:kern w:val="0"/>
                <w:sz w:val="24"/>
                <w:lang/>
              </w:rPr>
              <w:t>北泉寨</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后家滩</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第一标工程款</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2,832,000.00 </w:t>
            </w:r>
          </w:p>
        </w:tc>
      </w:tr>
      <w:tr w:rsidR="00F55CEE">
        <w:trPr>
          <w:trHeight w:val="454"/>
        </w:trPr>
        <w:tc>
          <w:tcPr>
            <w:tcW w:w="2380" w:type="dxa"/>
            <w:vMerge/>
            <w:tcBorders>
              <w:left w:val="single" w:sz="4" w:space="0" w:color="000000"/>
              <w:right w:val="single" w:sz="4" w:space="0" w:color="000000"/>
            </w:tcBorders>
            <w:shd w:val="clear" w:color="auto" w:fill="auto"/>
            <w:vAlign w:val="center"/>
          </w:tcPr>
          <w:p w:rsidR="00F55CEE" w:rsidRDefault="00F55CEE">
            <w:pPr>
              <w:widowControl/>
              <w:jc w:val="center"/>
              <w:textAlignment w:val="center"/>
              <w:rPr>
                <w:rFonts w:ascii="楷体_GB2312" w:eastAsia="楷体_GB2312" w:hAnsi="宋体" w:cs="楷体_GB2312"/>
                <w:color w:val="000000"/>
                <w:kern w:val="0"/>
                <w:sz w:val="20"/>
                <w:szCs w:val="20"/>
                <w:lang/>
              </w:rPr>
            </w:pPr>
          </w:p>
        </w:tc>
        <w:tc>
          <w:tcPr>
            <w:tcW w:w="1864" w:type="dxa"/>
            <w:vMerge/>
            <w:tcBorders>
              <w:left w:val="single" w:sz="4" w:space="0" w:color="000000"/>
              <w:bottom w:val="single" w:sz="4" w:space="0" w:color="000000"/>
              <w:right w:val="single" w:sz="4" w:space="0" w:color="000000"/>
            </w:tcBorders>
            <w:shd w:val="clear" w:color="auto" w:fill="auto"/>
            <w:noWrap/>
            <w:vAlign w:val="center"/>
          </w:tcPr>
          <w:p w:rsidR="00F55CEE" w:rsidRDefault="00F55CEE">
            <w:pPr>
              <w:widowControl/>
              <w:jc w:val="center"/>
              <w:textAlignment w:val="center"/>
              <w:rPr>
                <w:rFonts w:ascii="楷体_GB2312" w:eastAsia="楷体_GB2312" w:hAnsi="宋体" w:cs="楷体_GB2312"/>
                <w:color w:val="000000"/>
                <w:kern w:val="0"/>
                <w:sz w:val="24"/>
                <w:lang/>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第二标工程款</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6,205,000.00 </w:t>
            </w:r>
          </w:p>
        </w:tc>
      </w:tr>
      <w:tr w:rsidR="00F55CEE">
        <w:trPr>
          <w:trHeight w:val="454"/>
        </w:trPr>
        <w:tc>
          <w:tcPr>
            <w:tcW w:w="2380" w:type="dxa"/>
            <w:vMerge/>
            <w:tcBorders>
              <w:left w:val="single" w:sz="4" w:space="0" w:color="000000"/>
              <w:bottom w:val="single" w:sz="4" w:space="0" w:color="000000"/>
              <w:right w:val="single" w:sz="4" w:space="0" w:color="000000"/>
            </w:tcBorders>
            <w:shd w:val="clear" w:color="auto" w:fill="auto"/>
            <w:vAlign w:val="center"/>
          </w:tcPr>
          <w:p w:rsidR="00F55CEE" w:rsidRDefault="00F55CEE">
            <w:pPr>
              <w:widowControl/>
              <w:jc w:val="center"/>
              <w:textAlignment w:val="center"/>
              <w:rPr>
                <w:rFonts w:ascii="楷体_GB2312" w:eastAsia="楷体_GB2312" w:hAnsi="宋体" w:cs="楷体_GB2312"/>
                <w:color w:val="000000"/>
                <w:kern w:val="0"/>
                <w:sz w:val="20"/>
                <w:szCs w:val="20"/>
                <w:lang/>
              </w:rPr>
            </w:pPr>
          </w:p>
        </w:tc>
        <w:tc>
          <w:tcPr>
            <w:tcW w:w="18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1145CC">
            <w:pPr>
              <w:widowControl/>
              <w:jc w:val="center"/>
              <w:textAlignment w:val="center"/>
              <w:rPr>
                <w:rFonts w:ascii="楷体_GB2312" w:eastAsia="楷体_GB2312" w:hAnsi="宋体" w:cs="楷体_GB2312"/>
                <w:color w:val="000000"/>
                <w:sz w:val="24"/>
              </w:rPr>
            </w:pPr>
            <w:r>
              <w:rPr>
                <w:rFonts w:ascii="楷体_GB2312" w:eastAsia="楷体_GB2312" w:hAnsi="宋体" w:cs="楷体_GB2312"/>
                <w:color w:val="000000"/>
                <w:kern w:val="0"/>
                <w:sz w:val="24"/>
                <w:lang/>
              </w:rPr>
              <w:t>杨家庄</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龙洞</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工程款</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410,000.00 </w:t>
            </w:r>
          </w:p>
        </w:tc>
      </w:tr>
      <w:tr w:rsidR="00F55CEE">
        <w:trPr>
          <w:trHeight w:val="454"/>
        </w:trPr>
        <w:tc>
          <w:tcPr>
            <w:tcW w:w="23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长财建一〔</w:t>
            </w:r>
            <w:r>
              <w:rPr>
                <w:rFonts w:ascii="楷体_GB2312" w:eastAsia="楷体_GB2312" w:hAnsi="宋体" w:cs="楷体_GB2312"/>
                <w:color w:val="000000"/>
                <w:kern w:val="0"/>
                <w:sz w:val="20"/>
                <w:szCs w:val="20"/>
                <w:lang/>
              </w:rPr>
              <w:t>2020</w:t>
            </w:r>
            <w:r>
              <w:rPr>
                <w:rFonts w:ascii="楷体_GB2312" w:eastAsia="楷体_GB2312" w:hAnsi="宋体" w:cs="楷体_GB2312"/>
                <w:color w:val="000000"/>
                <w:kern w:val="0"/>
                <w:sz w:val="20"/>
                <w:szCs w:val="20"/>
                <w:lang/>
              </w:rPr>
              <w:t>〕</w:t>
            </w:r>
            <w:r>
              <w:rPr>
                <w:rFonts w:ascii="楷体_GB2312" w:eastAsia="楷体_GB2312" w:hAnsi="宋体" w:cs="楷体_GB2312"/>
                <w:color w:val="000000"/>
                <w:kern w:val="0"/>
                <w:sz w:val="20"/>
                <w:szCs w:val="20"/>
                <w:lang/>
              </w:rPr>
              <w:t>83</w:t>
            </w:r>
            <w:r>
              <w:rPr>
                <w:rFonts w:ascii="楷体_GB2312" w:eastAsia="楷体_GB2312" w:hAnsi="宋体" w:cs="楷体_GB2312"/>
                <w:color w:val="000000"/>
                <w:kern w:val="0"/>
                <w:sz w:val="20"/>
                <w:szCs w:val="20"/>
                <w:lang/>
              </w:rPr>
              <w:t>号</w:t>
            </w:r>
          </w:p>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11,050,000.00 </w:t>
            </w:r>
          </w:p>
        </w:tc>
        <w:tc>
          <w:tcPr>
            <w:tcW w:w="186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1145CC">
            <w:pPr>
              <w:widowControl/>
              <w:jc w:val="center"/>
              <w:textAlignment w:val="center"/>
              <w:rPr>
                <w:rFonts w:ascii="楷体_GB2312" w:eastAsia="楷体_GB2312" w:hAnsi="宋体" w:cs="楷体_GB2312"/>
                <w:color w:val="000000"/>
                <w:sz w:val="24"/>
              </w:rPr>
            </w:pPr>
            <w:r>
              <w:rPr>
                <w:rFonts w:ascii="楷体_GB2312" w:eastAsia="楷体_GB2312" w:hAnsi="宋体" w:cs="楷体_GB2312"/>
                <w:color w:val="000000"/>
                <w:kern w:val="0"/>
                <w:sz w:val="24"/>
                <w:lang/>
              </w:rPr>
              <w:t>港东</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白岩寺</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工程款</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1,010,000.00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F55CEE">
            <w:pPr>
              <w:jc w:val="center"/>
              <w:rPr>
                <w:rFonts w:ascii="楷体_GB2312" w:eastAsia="楷体_GB2312" w:hAnsi="宋体" w:cs="楷体_GB2312"/>
                <w:color w:val="000000"/>
                <w:sz w:val="24"/>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勘察设计费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60,000.00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F55CEE">
            <w:pPr>
              <w:jc w:val="center"/>
              <w:rPr>
                <w:rFonts w:ascii="楷体_GB2312" w:eastAsia="楷体_GB2312" w:hAnsi="宋体" w:cs="楷体_GB2312"/>
                <w:color w:val="000000"/>
                <w:sz w:val="24"/>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水土保持方案编制费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100,000.00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F55CEE">
            <w:pPr>
              <w:jc w:val="center"/>
              <w:rPr>
                <w:rFonts w:ascii="楷体_GB2312" w:eastAsia="楷体_GB2312" w:hAnsi="宋体" w:cs="楷体_GB2312"/>
                <w:color w:val="000000"/>
                <w:sz w:val="24"/>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监理费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190,000.00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1145CC">
            <w:pPr>
              <w:widowControl/>
              <w:jc w:val="center"/>
              <w:textAlignment w:val="center"/>
              <w:rPr>
                <w:rFonts w:ascii="楷体_GB2312" w:eastAsia="楷体_GB2312" w:hAnsi="宋体" w:cs="楷体_GB2312"/>
                <w:color w:val="000000"/>
                <w:sz w:val="24"/>
              </w:rPr>
            </w:pPr>
            <w:r>
              <w:rPr>
                <w:rFonts w:ascii="楷体_GB2312" w:eastAsia="楷体_GB2312" w:hAnsi="宋体" w:cs="楷体_GB2312"/>
                <w:color w:val="000000"/>
                <w:kern w:val="0"/>
                <w:sz w:val="24"/>
                <w:lang/>
              </w:rPr>
              <w:t>北泉寨</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后家滩</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监理费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1,000,000.00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1145CC">
            <w:pPr>
              <w:widowControl/>
              <w:jc w:val="center"/>
              <w:textAlignment w:val="center"/>
              <w:rPr>
                <w:rFonts w:ascii="楷体_GB2312" w:eastAsia="楷体_GB2312" w:hAnsi="宋体" w:cs="楷体_GB2312"/>
                <w:color w:val="000000"/>
                <w:sz w:val="24"/>
              </w:rPr>
            </w:pPr>
            <w:r>
              <w:rPr>
                <w:rFonts w:ascii="楷体_GB2312" w:eastAsia="楷体_GB2312" w:hAnsi="宋体" w:cs="楷体_GB2312"/>
                <w:color w:val="000000"/>
                <w:kern w:val="0"/>
                <w:sz w:val="24"/>
                <w:lang/>
              </w:rPr>
              <w:t>杨家庄</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龙洞</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工程款</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30,000.00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F55CEE">
            <w:pPr>
              <w:jc w:val="center"/>
              <w:rPr>
                <w:rFonts w:ascii="楷体_GB2312" w:eastAsia="楷体_GB2312" w:hAnsi="宋体" w:cs="楷体_GB2312"/>
                <w:color w:val="000000"/>
                <w:sz w:val="24"/>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勘察设计费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50,000.00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F55CEE">
            <w:pPr>
              <w:jc w:val="center"/>
              <w:rPr>
                <w:rFonts w:ascii="楷体_GB2312" w:eastAsia="楷体_GB2312" w:hAnsi="宋体" w:cs="楷体_GB2312"/>
                <w:color w:val="000000"/>
                <w:sz w:val="24"/>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水土保持方案编制费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100,000.00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F55CEE">
            <w:pPr>
              <w:jc w:val="center"/>
              <w:rPr>
                <w:rFonts w:ascii="楷体_GB2312" w:eastAsia="楷体_GB2312" w:hAnsi="宋体" w:cs="楷体_GB2312"/>
                <w:color w:val="000000"/>
                <w:sz w:val="24"/>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监理费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80,000.00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1145CC">
            <w:pPr>
              <w:widowControl/>
              <w:jc w:val="center"/>
              <w:textAlignment w:val="center"/>
              <w:rPr>
                <w:rFonts w:ascii="楷体_GB2312" w:eastAsia="楷体_GB2312" w:hAnsi="宋体" w:cs="楷体_GB2312"/>
                <w:color w:val="000000"/>
                <w:sz w:val="24"/>
              </w:rPr>
            </w:pPr>
            <w:r>
              <w:rPr>
                <w:rFonts w:ascii="楷体_GB2312" w:eastAsia="楷体_GB2312" w:hAnsi="宋体" w:cs="楷体_GB2312"/>
                <w:color w:val="000000"/>
                <w:kern w:val="0"/>
                <w:sz w:val="24"/>
                <w:lang/>
              </w:rPr>
              <w:t>西井</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板山段</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勘察设计费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35,000.00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F55CEE">
            <w:pPr>
              <w:jc w:val="center"/>
              <w:rPr>
                <w:rFonts w:ascii="楷体_GB2312" w:eastAsia="楷体_GB2312" w:hAnsi="宋体" w:cs="楷体_GB2312"/>
                <w:color w:val="000000"/>
                <w:sz w:val="24"/>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施工图设计咨询费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120,000.00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F55CEE">
            <w:pPr>
              <w:jc w:val="center"/>
              <w:rPr>
                <w:rFonts w:ascii="楷体_GB2312" w:eastAsia="楷体_GB2312" w:hAnsi="宋体" w:cs="楷体_GB2312"/>
                <w:color w:val="000000"/>
                <w:sz w:val="24"/>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环境影响报告编制费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40,000.00 </w:t>
            </w:r>
          </w:p>
        </w:tc>
      </w:tr>
      <w:tr w:rsidR="00F55CEE">
        <w:trPr>
          <w:trHeight w:val="454"/>
        </w:trPr>
        <w:tc>
          <w:tcPr>
            <w:tcW w:w="2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F55CEE">
            <w:pPr>
              <w:jc w:val="center"/>
              <w:rPr>
                <w:rFonts w:ascii="楷体_GB2312" w:eastAsia="楷体_GB2312" w:hAnsi="宋体" w:cs="楷体_GB2312"/>
                <w:color w:val="000000"/>
                <w:sz w:val="20"/>
                <w:szCs w:val="20"/>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F55CEE">
            <w:pPr>
              <w:jc w:val="center"/>
              <w:rPr>
                <w:rFonts w:ascii="楷体_GB2312" w:eastAsia="楷体_GB2312" w:hAnsi="宋体" w:cs="楷体_GB2312"/>
                <w:color w:val="000000"/>
                <w:sz w:val="24"/>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水土保持编制费</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kern w:val="0"/>
                <w:sz w:val="20"/>
                <w:szCs w:val="20"/>
                <w:lang/>
              </w:rPr>
              <w:t xml:space="preserve">100,000.00 </w:t>
            </w:r>
          </w:p>
        </w:tc>
      </w:tr>
      <w:tr w:rsidR="00F55CEE">
        <w:trPr>
          <w:trHeight w:val="454"/>
        </w:trPr>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43,68</w:t>
            </w:r>
            <w:r>
              <w:rPr>
                <w:rFonts w:ascii="楷体_GB2312" w:eastAsia="楷体_GB2312" w:hAnsi="宋体" w:cs="楷体_GB2312"/>
                <w:color w:val="000000"/>
                <w:sz w:val="20"/>
                <w:szCs w:val="20"/>
              </w:rPr>
              <w:t xml:space="preserve">0,000.00 </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合</w:t>
            </w:r>
            <w:r>
              <w:rPr>
                <w:rFonts w:ascii="楷体_GB2312" w:eastAsia="楷体_GB2312" w:hAnsi="宋体" w:cs="楷体_GB2312" w:hint="eastAsia"/>
                <w:color w:val="000000"/>
                <w:kern w:val="0"/>
                <w:sz w:val="20"/>
                <w:szCs w:val="20"/>
                <w:lang/>
              </w:rPr>
              <w:t xml:space="preserve">     </w:t>
            </w:r>
            <w:r>
              <w:rPr>
                <w:rFonts w:ascii="楷体_GB2312" w:eastAsia="楷体_GB2312" w:hAnsi="宋体" w:cs="楷体_GB2312" w:hint="eastAsia"/>
                <w:color w:val="000000"/>
                <w:kern w:val="0"/>
                <w:sz w:val="20"/>
                <w:szCs w:val="20"/>
                <w:lang/>
              </w:rPr>
              <w:t>计</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14,022,000.00 </w:t>
            </w:r>
          </w:p>
        </w:tc>
      </w:tr>
    </w:tbl>
    <w:p w:rsidR="00F55CEE" w:rsidRDefault="00F55CEE">
      <w:pPr>
        <w:pStyle w:val="a0"/>
        <w:spacing w:after="0"/>
        <w:jc w:val="center"/>
        <w:rPr>
          <w:rFonts w:ascii="楷体_GB2312" w:eastAsia="楷体_GB2312" w:hAnsi="楷体_GB2312" w:cs="楷体_GB2312"/>
          <w:sz w:val="24"/>
        </w:rPr>
      </w:pPr>
    </w:p>
    <w:p w:rsidR="00F55CEE" w:rsidRDefault="001145CC">
      <w:pPr>
        <w:ind w:firstLineChars="200" w:firstLine="560"/>
        <w:rPr>
          <w:rFonts w:ascii="仿宋_GB2312" w:eastAsia="仿宋_GB2312" w:hAnsi="仿宋_GB2312" w:cs="仿宋_GB2312"/>
          <w:sz w:val="28"/>
          <w:szCs w:val="28"/>
        </w:rPr>
      </w:pPr>
      <w:bookmarkStart w:id="103" w:name="_Toc9339"/>
      <w:bookmarkStart w:id="104" w:name="_Toc23644"/>
      <w:bookmarkStart w:id="105" w:name="_Toc13024"/>
      <w:bookmarkStart w:id="106" w:name="_Toc25721"/>
      <w:bookmarkStart w:id="107" w:name="_Toc16864"/>
      <w:bookmarkStart w:id="108" w:name="_Toc2242"/>
      <w:bookmarkStart w:id="109" w:name="_Toc2283"/>
      <w:bookmarkStart w:id="110" w:name="_Toc24442"/>
      <w:bookmarkStart w:id="111" w:name="_Toc31152"/>
      <w:r>
        <w:rPr>
          <w:rFonts w:ascii="仿宋_GB2312" w:eastAsia="仿宋_GB2312" w:hAnsi="仿宋_GB2312" w:cs="仿宋_GB2312" w:hint="eastAsia"/>
          <w:sz w:val="28"/>
          <w:szCs w:val="28"/>
        </w:rPr>
        <w:t>截至</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31</w:t>
      </w:r>
      <w:r>
        <w:rPr>
          <w:rFonts w:ascii="仿宋_GB2312" w:eastAsia="仿宋_GB2312" w:hAnsi="仿宋_GB2312" w:cs="仿宋_GB2312" w:hint="eastAsia"/>
          <w:sz w:val="28"/>
          <w:szCs w:val="28"/>
        </w:rPr>
        <w:t>日，省级补助资金（</w:t>
      </w:r>
      <w:r>
        <w:rPr>
          <w:rFonts w:ascii="仿宋_GB2312" w:eastAsia="仿宋_GB2312" w:hAnsi="仿宋_GB2312" w:cs="仿宋_GB2312"/>
          <w:sz w:val="28"/>
          <w:szCs w:val="28"/>
        </w:rPr>
        <w:t>长财建一〔</w:t>
      </w:r>
      <w:r>
        <w:rPr>
          <w:rFonts w:ascii="仿宋_GB2312" w:eastAsia="仿宋_GB2312" w:hAnsi="仿宋_GB2312" w:cs="仿宋_GB2312"/>
          <w:sz w:val="28"/>
          <w:szCs w:val="28"/>
        </w:rPr>
        <w:t>2020</w:t>
      </w:r>
      <w:r>
        <w:rPr>
          <w:rFonts w:ascii="仿宋_GB2312" w:eastAsia="仿宋_GB2312" w:hAnsi="仿宋_GB2312" w:cs="仿宋_GB2312"/>
          <w:sz w:val="28"/>
          <w:szCs w:val="28"/>
        </w:rPr>
        <w:t>〕</w:t>
      </w:r>
      <w:r>
        <w:rPr>
          <w:rFonts w:ascii="仿宋_GB2312" w:eastAsia="仿宋_GB2312" w:hAnsi="仿宋_GB2312" w:cs="仿宋_GB2312"/>
          <w:sz w:val="28"/>
          <w:szCs w:val="28"/>
        </w:rPr>
        <w:t>5</w:t>
      </w:r>
      <w:r>
        <w:rPr>
          <w:rFonts w:ascii="仿宋_GB2312" w:eastAsia="仿宋_GB2312" w:hAnsi="仿宋_GB2312" w:cs="仿宋_GB2312"/>
          <w:sz w:val="28"/>
          <w:szCs w:val="28"/>
        </w:rPr>
        <w:t>号</w:t>
      </w:r>
      <w:r>
        <w:rPr>
          <w:rFonts w:ascii="仿宋_GB2312" w:eastAsia="仿宋_GB2312" w:hAnsi="仿宋_GB2312" w:cs="仿宋_GB2312" w:hint="eastAsia"/>
          <w:sz w:val="28"/>
          <w:szCs w:val="28"/>
        </w:rPr>
        <w:t>）未使用</w:t>
      </w:r>
      <w:r>
        <w:rPr>
          <w:rFonts w:ascii="仿宋_GB2312" w:eastAsia="仿宋_GB2312" w:hAnsi="仿宋_GB2312" w:cs="仿宋_GB2312" w:hint="eastAsia"/>
          <w:sz w:val="28"/>
          <w:szCs w:val="28"/>
        </w:rPr>
        <w:t xml:space="preserve">2152.30 </w:t>
      </w:r>
      <w:r>
        <w:rPr>
          <w:rFonts w:ascii="仿宋_GB2312" w:eastAsia="仿宋_GB2312" w:hAnsi="仿宋_GB2312" w:cs="仿宋_GB2312" w:hint="eastAsia"/>
          <w:sz w:val="28"/>
          <w:szCs w:val="28"/>
        </w:rPr>
        <w:t>万元，市级补助资金（长财建一〔</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83</w:t>
      </w:r>
      <w:r>
        <w:rPr>
          <w:rFonts w:ascii="仿宋_GB2312" w:eastAsia="仿宋_GB2312" w:hAnsi="仿宋_GB2312" w:cs="仿宋_GB2312" w:hint="eastAsia"/>
          <w:sz w:val="28"/>
          <w:szCs w:val="28"/>
        </w:rPr>
        <w:t>号）未使用</w:t>
      </w:r>
      <w:r>
        <w:rPr>
          <w:rFonts w:ascii="仿宋_GB2312" w:eastAsia="仿宋_GB2312" w:hAnsi="仿宋_GB2312" w:cs="仿宋_GB2312" w:hint="eastAsia"/>
          <w:sz w:val="28"/>
          <w:szCs w:val="28"/>
        </w:rPr>
        <w:t>813.50</w:t>
      </w:r>
      <w:r>
        <w:rPr>
          <w:rFonts w:ascii="仿宋_GB2312" w:eastAsia="仿宋_GB2312" w:hAnsi="仿宋_GB2312" w:cs="仿宋_GB2312" w:hint="eastAsia"/>
          <w:sz w:val="28"/>
          <w:szCs w:val="28"/>
        </w:rPr>
        <w:t>万元，合计</w:t>
      </w:r>
      <w:r>
        <w:rPr>
          <w:rFonts w:ascii="仿宋_GB2312" w:eastAsia="仿宋_GB2312" w:hAnsi="仿宋_GB2312" w:cs="仿宋_GB2312" w:hint="eastAsia"/>
          <w:sz w:val="28"/>
          <w:szCs w:val="28"/>
        </w:rPr>
        <w:t>2965.8</w:t>
      </w:r>
      <w:r>
        <w:rPr>
          <w:rFonts w:ascii="仿宋_GB2312" w:eastAsia="仿宋_GB2312" w:hAnsi="仿宋_GB2312" w:cs="仿宋_GB2312" w:hint="eastAsia"/>
          <w:sz w:val="28"/>
          <w:szCs w:val="28"/>
        </w:rPr>
        <w:t>万元。</w:t>
      </w:r>
      <w:bookmarkEnd w:id="103"/>
      <w:bookmarkEnd w:id="104"/>
      <w:bookmarkEnd w:id="105"/>
      <w:bookmarkEnd w:id="106"/>
      <w:bookmarkEnd w:id="107"/>
      <w:bookmarkEnd w:id="108"/>
      <w:bookmarkEnd w:id="109"/>
      <w:bookmarkEnd w:id="110"/>
      <w:bookmarkEnd w:id="111"/>
    </w:p>
    <w:p w:rsidR="00F55CEE" w:rsidRDefault="001145CC">
      <w:pPr>
        <w:pStyle w:val="a0"/>
        <w:spacing w:after="0" w:line="360" w:lineRule="auto"/>
        <w:ind w:firstLineChars="200" w:firstLine="560"/>
        <w:outlineLvl w:val="1"/>
        <w:rPr>
          <w:rStyle w:val="2Char"/>
          <w:rFonts w:ascii="楷体_GB2312" w:eastAsia="楷体_GB2312" w:hAnsi="楷体_GB2312" w:cs="楷体_GB2312"/>
          <w:b w:val="0"/>
          <w:bCs w:val="0"/>
          <w:sz w:val="28"/>
          <w:szCs w:val="28"/>
        </w:rPr>
      </w:pPr>
      <w:bookmarkStart w:id="112" w:name="_Toc12607"/>
      <w:bookmarkStart w:id="113" w:name="_Toc1526"/>
      <w:bookmarkStart w:id="114" w:name="_Toc30583"/>
      <w:bookmarkStart w:id="115" w:name="_Toc30726"/>
      <w:bookmarkStart w:id="116" w:name="_Toc5717"/>
      <w:bookmarkStart w:id="117" w:name="_Toc11222"/>
      <w:bookmarkStart w:id="118" w:name="_Toc14833"/>
      <w:bookmarkStart w:id="119" w:name="_Toc10545"/>
      <w:bookmarkStart w:id="120" w:name="_Toc27302"/>
      <w:bookmarkStart w:id="121" w:name="_Toc23194"/>
      <w:bookmarkStart w:id="122" w:name="_Toc12885"/>
      <w:bookmarkStart w:id="123" w:name="_Toc17368"/>
      <w:bookmarkStart w:id="124" w:name="_Toc24686"/>
      <w:bookmarkStart w:id="125" w:name="_Toc30953"/>
      <w:bookmarkStart w:id="126" w:name="_Toc10945"/>
      <w:bookmarkStart w:id="127" w:name="_Toc10461"/>
      <w:bookmarkStart w:id="128" w:name="_Toc16548"/>
      <w:bookmarkStart w:id="129" w:name="_Toc9028"/>
      <w:bookmarkStart w:id="130" w:name="_Toc9418"/>
      <w:bookmarkStart w:id="131" w:name="_Toc22719"/>
      <w:bookmarkEnd w:id="91"/>
      <w:bookmarkEnd w:id="92"/>
      <w:bookmarkEnd w:id="93"/>
      <w:bookmarkEnd w:id="94"/>
      <w:bookmarkEnd w:id="95"/>
      <w:bookmarkEnd w:id="96"/>
      <w:bookmarkEnd w:id="97"/>
      <w:bookmarkEnd w:id="98"/>
      <w:bookmarkEnd w:id="99"/>
      <w:bookmarkEnd w:id="100"/>
      <w:bookmarkEnd w:id="101"/>
      <w:r>
        <w:rPr>
          <w:rStyle w:val="2Char"/>
          <w:rFonts w:ascii="楷体_GB2312" w:eastAsia="楷体_GB2312" w:hAnsi="楷体_GB2312" w:cs="楷体_GB2312" w:hint="eastAsia"/>
          <w:b w:val="0"/>
          <w:bCs w:val="0"/>
          <w:sz w:val="28"/>
          <w:szCs w:val="28"/>
        </w:rPr>
        <w:t>（四）项目实施内容</w:t>
      </w:r>
      <w:bookmarkEnd w:id="112"/>
    </w:p>
    <w:p w:rsidR="00F55CEE" w:rsidRDefault="001145CC" w:rsidP="00DC5F81">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三大板块旅游公路四条专线项目经黎城县县发改委批复通过，总预算资金为</w:t>
      </w:r>
      <w:r>
        <w:rPr>
          <w:rFonts w:ascii="仿宋_GB2312" w:eastAsia="仿宋_GB2312" w:hAnsi="仿宋_GB2312" w:cs="仿宋_GB2312" w:hint="eastAsia"/>
          <w:sz w:val="28"/>
          <w:szCs w:val="28"/>
        </w:rPr>
        <w:t>22711.9836</w:t>
      </w:r>
      <w:r>
        <w:rPr>
          <w:rFonts w:ascii="仿宋_GB2312" w:eastAsia="仿宋_GB2312" w:hAnsi="仿宋_GB2312" w:cs="仿宋_GB2312" w:hint="eastAsia"/>
          <w:sz w:val="28"/>
          <w:szCs w:val="28"/>
        </w:rPr>
        <w:t>万元，根据合同要求，保质保量的完成三大板块旅游公路各路线项目的工程量，具体情况如下：</w:t>
      </w:r>
    </w:p>
    <w:p w:rsidR="00F55CEE" w:rsidRDefault="001145CC">
      <w:pPr>
        <w:pStyle w:val="a0"/>
        <w:numPr>
          <w:ilvl w:val="0"/>
          <w:numId w:val="3"/>
        </w:numPr>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太行板块旅游公路长治市黎城县白岩寺旅游公路工程。依据《关于黎城县白岩寺旅游公路（港东～白岩寺）工程可行性研究报告的批复》（黎发改审发（</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115</w:t>
      </w:r>
      <w:r>
        <w:rPr>
          <w:rFonts w:ascii="仿宋_GB2312" w:eastAsia="仿宋_GB2312" w:hAnsi="仿宋_GB2312" w:cs="仿宋_GB2312" w:hint="eastAsia"/>
          <w:sz w:val="28"/>
          <w:szCs w:val="28"/>
        </w:rPr>
        <w:t>号），计划建设内容为：项目起点位于洪井乡港东村（与国道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线</w:t>
      </w:r>
      <w:r>
        <w:rPr>
          <w:rFonts w:ascii="仿宋_GB2312" w:eastAsia="仿宋_GB2312" w:hAnsi="仿宋_GB2312" w:cs="仿宋_GB2312" w:hint="eastAsia"/>
          <w:sz w:val="28"/>
          <w:szCs w:val="28"/>
        </w:rPr>
        <w:t>k1130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900</w:t>
      </w:r>
      <w:r>
        <w:rPr>
          <w:rFonts w:ascii="仿宋_GB2312" w:eastAsia="仿宋_GB2312" w:hAnsi="仿宋_GB2312" w:cs="仿宋_GB2312" w:hint="eastAsia"/>
          <w:sz w:val="28"/>
          <w:szCs w:val="28"/>
        </w:rPr>
        <w:t>处相交），起点桩号</w:t>
      </w:r>
      <w:r>
        <w:rPr>
          <w:rFonts w:ascii="仿宋_GB2312" w:eastAsia="仿宋_GB2312" w:hAnsi="仿宋_GB2312" w:cs="仿宋_GB2312" w:hint="eastAsia"/>
          <w:sz w:val="28"/>
          <w:szCs w:val="28"/>
        </w:rPr>
        <w:t>K0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000</w:t>
      </w:r>
      <w:r>
        <w:rPr>
          <w:rFonts w:ascii="仿宋_GB2312" w:eastAsia="仿宋_GB2312" w:hAnsi="仿宋_GB2312" w:cs="仿宋_GB2312" w:hint="eastAsia"/>
          <w:sz w:val="28"/>
          <w:szCs w:val="28"/>
        </w:rPr>
        <w:t>，线路走向由西向东，经白岩寺景区，终点位于苏村，终点桩号</w:t>
      </w:r>
      <w:r>
        <w:rPr>
          <w:rFonts w:ascii="仿宋_GB2312" w:eastAsia="仿宋_GB2312" w:hAnsi="仿宋_GB2312" w:cs="仿宋_GB2312" w:hint="eastAsia"/>
          <w:sz w:val="28"/>
          <w:szCs w:val="28"/>
        </w:rPr>
        <w:t>K6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430</w:t>
      </w:r>
      <w:r>
        <w:rPr>
          <w:rFonts w:ascii="仿宋_GB2312" w:eastAsia="仿宋_GB2312" w:hAnsi="仿宋_GB2312" w:cs="仿宋_GB2312" w:hint="eastAsia"/>
          <w:sz w:val="28"/>
          <w:szCs w:val="28"/>
        </w:rPr>
        <w:t>，路线全长</w:t>
      </w:r>
      <w:r>
        <w:rPr>
          <w:rFonts w:ascii="仿宋_GB2312" w:eastAsia="仿宋_GB2312" w:hAnsi="仿宋_GB2312" w:cs="仿宋_GB2312" w:hint="eastAsia"/>
          <w:sz w:val="28"/>
          <w:szCs w:val="28"/>
        </w:rPr>
        <w:t>6.43</w:t>
      </w:r>
      <w:r>
        <w:rPr>
          <w:rFonts w:ascii="仿宋_GB2312" w:eastAsia="仿宋_GB2312" w:hAnsi="仿宋_GB2312" w:cs="仿宋_GB2312" w:hint="eastAsia"/>
          <w:sz w:val="28"/>
          <w:szCs w:val="28"/>
        </w:rPr>
        <w:t>公里；建设地址为洪井乡、停河铺乡和东阳关镇。全线采用三级公路技术标准，路基宽度</w:t>
      </w:r>
      <w:r>
        <w:rPr>
          <w:rFonts w:ascii="仿宋_GB2312" w:eastAsia="仿宋_GB2312" w:hAnsi="仿宋_GB2312" w:cs="仿宋_GB2312" w:hint="eastAsia"/>
          <w:sz w:val="28"/>
          <w:szCs w:val="28"/>
        </w:rPr>
        <w:t>7.5</w:t>
      </w:r>
      <w:r>
        <w:rPr>
          <w:rFonts w:ascii="仿宋_GB2312" w:eastAsia="仿宋_GB2312" w:hAnsi="仿宋_GB2312" w:cs="仿宋_GB2312" w:hint="eastAsia"/>
          <w:sz w:val="28"/>
          <w:szCs w:val="28"/>
        </w:rPr>
        <w:t>米，设计速度</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公里／小时，桥涵汽车荷载等级公路</w:t>
      </w:r>
      <w:r>
        <w:rPr>
          <w:rFonts w:ascii="仿宋_GB2312" w:eastAsia="仿宋_GB2312" w:hAnsi="仿宋_GB2312" w:cs="仿宋_GB2312" w:hint="eastAsia"/>
          <w:sz w:val="28"/>
          <w:szCs w:val="28"/>
        </w:rPr>
        <w:t>-II</w:t>
      </w:r>
      <w:r>
        <w:rPr>
          <w:rFonts w:ascii="仿宋_GB2312" w:eastAsia="仿宋_GB2312" w:hAnsi="仿宋_GB2312" w:cs="仿宋_GB2312" w:hint="eastAsia"/>
          <w:sz w:val="28"/>
          <w:szCs w:val="28"/>
        </w:rPr>
        <w:t>级，路面结构为沥青混凝土。计</w:t>
      </w:r>
      <w:r>
        <w:rPr>
          <w:rFonts w:ascii="仿宋_GB2312" w:eastAsia="仿宋_GB2312" w:hAnsi="仿宋_GB2312" w:cs="仿宋_GB2312" w:hint="eastAsia"/>
          <w:sz w:val="28"/>
          <w:szCs w:val="28"/>
        </w:rPr>
        <w:t>划建设工期：</w:t>
      </w:r>
      <w:r>
        <w:rPr>
          <w:rFonts w:ascii="仿宋_GB2312" w:eastAsia="仿宋_GB2312" w:hAnsi="仿宋_GB2312" w:cs="仿宋_GB2312" w:hint="eastAsia"/>
          <w:sz w:val="28"/>
          <w:szCs w:val="28"/>
        </w:rPr>
        <w:t>14</w:t>
      </w:r>
      <w:r>
        <w:rPr>
          <w:rFonts w:ascii="仿宋_GB2312" w:eastAsia="仿宋_GB2312" w:hAnsi="仿宋_GB2312" w:cs="仿宋_GB2312" w:hint="eastAsia"/>
          <w:sz w:val="28"/>
          <w:szCs w:val="28"/>
        </w:rPr>
        <w:t>个月。于</w:t>
      </w:r>
      <w:r>
        <w:rPr>
          <w:rFonts w:ascii="仿宋_GB2312" w:eastAsia="仿宋_GB2312" w:hAnsi="仿宋_GB2312" w:cs="仿宋_GB2312" w:hint="eastAsia"/>
          <w:sz w:val="28"/>
          <w:szCs w:val="28"/>
        </w:rPr>
        <w:t>2017</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日调整项目概算为</w:t>
      </w:r>
      <w:r>
        <w:rPr>
          <w:rFonts w:ascii="仿宋_GB2312" w:eastAsia="仿宋_GB2312" w:hAnsi="仿宋_GB2312" w:cs="仿宋_GB2312" w:hint="eastAsia"/>
          <w:sz w:val="28"/>
          <w:szCs w:val="28"/>
        </w:rPr>
        <w:t>2918.2687</w:t>
      </w:r>
      <w:r>
        <w:rPr>
          <w:rFonts w:ascii="仿宋_GB2312" w:eastAsia="仿宋_GB2312" w:hAnsi="仿宋_GB2312" w:cs="仿宋_GB2312" w:hint="eastAsia"/>
          <w:sz w:val="28"/>
          <w:szCs w:val="28"/>
        </w:rPr>
        <w:t>万元。</w:t>
      </w:r>
    </w:p>
    <w:p w:rsidR="00F55CEE" w:rsidRDefault="001145CC">
      <w:pPr>
        <w:pStyle w:val="a0"/>
        <w:spacing w:line="360" w:lineRule="auto"/>
        <w:ind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黎城县交通运输局于</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日与山西亿承建设工程有限</w:t>
      </w:r>
      <w:r>
        <w:rPr>
          <w:rFonts w:ascii="仿宋_GB2312" w:eastAsia="仿宋_GB2312" w:hAnsi="仿宋_GB2312" w:cs="仿宋_GB2312" w:hint="eastAsia"/>
          <w:sz w:val="28"/>
          <w:szCs w:val="28"/>
        </w:rPr>
        <w:lastRenderedPageBreak/>
        <w:t>公司承建签订施工合同，工期为</w:t>
      </w:r>
      <w:r>
        <w:rPr>
          <w:rFonts w:ascii="仿宋_GB2312" w:eastAsia="仿宋_GB2312" w:hAnsi="仿宋_GB2312" w:cs="仿宋_GB2312" w:hint="eastAsia"/>
          <w:sz w:val="28"/>
          <w:szCs w:val="28"/>
        </w:rPr>
        <w:t>420</w:t>
      </w:r>
      <w:r>
        <w:rPr>
          <w:rFonts w:ascii="仿宋_GB2312" w:eastAsia="仿宋_GB2312" w:hAnsi="仿宋_GB2312" w:cs="仿宋_GB2312" w:hint="eastAsia"/>
          <w:sz w:val="28"/>
          <w:szCs w:val="28"/>
        </w:rPr>
        <w:t>日历天。截至目前，该项目基本建设完成，尚未进行交工验收。</w:t>
      </w:r>
    </w:p>
    <w:p w:rsidR="00F55CEE" w:rsidRDefault="001145CC">
      <w:pPr>
        <w:pStyle w:val="a0"/>
        <w:numPr>
          <w:ilvl w:val="0"/>
          <w:numId w:val="3"/>
        </w:num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太行板块旅游公路长治市黎城县北泉寨至后家滩段旅游公路工程。依据《关于中华太行大峡谷旅游公路（黎城～后家滩）工程可行性研究报告的批复》（黎发改审发（</w:t>
      </w:r>
      <w:r>
        <w:rPr>
          <w:rFonts w:ascii="仿宋_GB2312" w:eastAsia="仿宋_GB2312" w:hAnsi="仿宋_GB2312" w:cs="仿宋_GB2312" w:hint="eastAsia"/>
          <w:sz w:val="28"/>
          <w:szCs w:val="28"/>
        </w:rPr>
        <w:t>2017</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43</w:t>
      </w:r>
      <w:r>
        <w:rPr>
          <w:rFonts w:ascii="仿宋_GB2312" w:eastAsia="仿宋_GB2312" w:hAnsi="仿宋_GB2312" w:cs="仿宋_GB2312" w:hint="eastAsia"/>
          <w:sz w:val="28"/>
          <w:szCs w:val="28"/>
        </w:rPr>
        <w:t>号），计划建设内容为：</w:t>
      </w:r>
      <w:r>
        <w:rPr>
          <w:rFonts w:ascii="仿宋_GB2312" w:eastAsia="仿宋_GB2312" w:hAnsi="仿宋_GB2312" w:cs="仿宋_GB2312" w:hint="eastAsia"/>
          <w:sz w:val="28"/>
          <w:szCs w:val="28"/>
        </w:rPr>
        <w:t>项目起点位于黎侯镇北泉寨村（与国道</w:t>
      </w:r>
      <w:r>
        <w:rPr>
          <w:rFonts w:ascii="仿宋_GB2312" w:eastAsia="仿宋_GB2312" w:hAnsi="仿宋_GB2312" w:cs="仿宋_GB2312" w:hint="eastAsia"/>
          <w:sz w:val="28"/>
          <w:szCs w:val="28"/>
        </w:rPr>
        <w:t>309</w:t>
      </w:r>
      <w:r>
        <w:rPr>
          <w:rFonts w:ascii="仿宋_GB2312" w:eastAsia="仿宋_GB2312" w:hAnsi="仿宋_GB2312" w:cs="仿宋_GB2312" w:hint="eastAsia"/>
          <w:sz w:val="28"/>
          <w:szCs w:val="28"/>
        </w:rPr>
        <w:t>线相接处），途经黎侯镇望北村、上村、岩南村、程家山乡石矶村、黎侯镇岩井村和坟皎村，终点位于黎侯镇宋家庄村（与黎城县后家滩村交界处），路线全长</w:t>
      </w:r>
      <w:r>
        <w:rPr>
          <w:rFonts w:ascii="仿宋_GB2312" w:eastAsia="仿宋_GB2312" w:hAnsi="仿宋_GB2312" w:cs="仿宋_GB2312" w:hint="eastAsia"/>
          <w:sz w:val="28"/>
          <w:szCs w:val="28"/>
        </w:rPr>
        <w:t>18.248</w:t>
      </w:r>
      <w:r>
        <w:rPr>
          <w:rFonts w:ascii="仿宋_GB2312" w:eastAsia="仿宋_GB2312" w:hAnsi="仿宋_GB2312" w:cs="仿宋_GB2312" w:hint="eastAsia"/>
          <w:sz w:val="28"/>
          <w:szCs w:val="28"/>
        </w:rPr>
        <w:t>公里。全线采用三级公路技术标准，路基宽度为</w:t>
      </w:r>
      <w:r>
        <w:rPr>
          <w:rFonts w:ascii="仿宋_GB2312" w:eastAsia="仿宋_GB2312" w:hAnsi="仿宋_GB2312" w:cs="仿宋_GB2312" w:hint="eastAsia"/>
          <w:sz w:val="28"/>
          <w:szCs w:val="28"/>
        </w:rPr>
        <w:t>7.5</w:t>
      </w:r>
      <w:r>
        <w:rPr>
          <w:rFonts w:ascii="仿宋_GB2312" w:eastAsia="仿宋_GB2312" w:hAnsi="仿宋_GB2312" w:cs="仿宋_GB2312" w:hint="eastAsia"/>
          <w:sz w:val="28"/>
          <w:szCs w:val="28"/>
        </w:rPr>
        <w:t>米，设计速度</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公里／小时，路面结构为沥青混凝土。桥涵设计汽车荷载等级为公路－</w:t>
      </w:r>
      <w:r>
        <w:rPr>
          <w:rFonts w:ascii="仿宋_GB2312" w:eastAsia="仿宋_GB2312" w:hAnsi="仿宋_GB2312" w:cs="仿宋_GB2312" w:hint="eastAsia"/>
          <w:sz w:val="28"/>
          <w:szCs w:val="28"/>
        </w:rPr>
        <w:t>II</w:t>
      </w:r>
      <w:r>
        <w:rPr>
          <w:rFonts w:ascii="仿宋_GB2312" w:eastAsia="仿宋_GB2312" w:hAnsi="仿宋_GB2312" w:cs="仿宋_GB2312" w:hint="eastAsia"/>
          <w:sz w:val="28"/>
          <w:szCs w:val="28"/>
        </w:rPr>
        <w:t>级，同时增设相应的防护和排水设施等。</w:t>
      </w:r>
    </w:p>
    <w:p w:rsidR="00F55CEE" w:rsidRDefault="001145CC">
      <w:pPr>
        <w:pStyle w:val="a0"/>
        <w:spacing w:line="360" w:lineRule="auto"/>
        <w:ind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黎城县交通运输局于</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日与河南恒通公路桥梁建设有限公司签订工程第一标段施工合同，工期为</w:t>
      </w:r>
      <w:r>
        <w:rPr>
          <w:rFonts w:ascii="仿宋_GB2312" w:eastAsia="仿宋_GB2312" w:hAnsi="仿宋_GB2312" w:cs="仿宋_GB2312" w:hint="eastAsia"/>
          <w:sz w:val="28"/>
          <w:szCs w:val="28"/>
        </w:rPr>
        <w:t>540</w:t>
      </w:r>
      <w:r>
        <w:rPr>
          <w:rFonts w:ascii="仿宋_GB2312" w:eastAsia="仿宋_GB2312" w:hAnsi="仿宋_GB2312" w:cs="仿宋_GB2312" w:hint="eastAsia"/>
          <w:sz w:val="28"/>
          <w:szCs w:val="28"/>
        </w:rPr>
        <w:t>日历天；于</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日与河南锦达建设有</w:t>
      </w:r>
      <w:r>
        <w:rPr>
          <w:rFonts w:ascii="仿宋_GB2312" w:eastAsia="仿宋_GB2312" w:hAnsi="仿宋_GB2312" w:cs="仿宋_GB2312" w:hint="eastAsia"/>
          <w:sz w:val="28"/>
          <w:szCs w:val="28"/>
        </w:rPr>
        <w:t>限公司签订工程第二标段施工合同，工期为</w:t>
      </w:r>
      <w:r>
        <w:rPr>
          <w:rFonts w:ascii="仿宋_GB2312" w:eastAsia="仿宋_GB2312" w:hAnsi="仿宋_GB2312" w:cs="仿宋_GB2312" w:hint="eastAsia"/>
          <w:sz w:val="28"/>
          <w:szCs w:val="28"/>
        </w:rPr>
        <w:t>540</w:t>
      </w:r>
      <w:r>
        <w:rPr>
          <w:rFonts w:ascii="仿宋_GB2312" w:eastAsia="仿宋_GB2312" w:hAnsi="仿宋_GB2312" w:cs="仿宋_GB2312" w:hint="eastAsia"/>
          <w:sz w:val="28"/>
          <w:szCs w:val="28"/>
        </w:rPr>
        <w:t>日历天。截至目前，该项目两个标段主体工程基本建设完成，尚有部分辅助工程未完，未进行交工验收。</w:t>
      </w:r>
    </w:p>
    <w:p w:rsidR="00F55CEE" w:rsidRDefault="001145CC">
      <w:pPr>
        <w:pStyle w:val="a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黎城县龙洞景区旅游公路（杨家庄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龙洞）一期工程项目。</w:t>
      </w:r>
      <w:r>
        <w:rPr>
          <w:rFonts w:ascii="仿宋_GB2312" w:eastAsia="仿宋_GB2312" w:hAnsi="仿宋_GB2312" w:cs="仿宋_GB2312" w:hint="eastAsia"/>
          <w:sz w:val="28"/>
          <w:szCs w:val="28"/>
        </w:rPr>
        <w:t>依据《关于黎城县</w:t>
      </w:r>
      <w:r>
        <w:rPr>
          <w:rFonts w:ascii="仿宋_GB2312" w:eastAsia="仿宋_GB2312" w:hAnsi="仿宋_GB2312" w:cs="仿宋_GB2312" w:hint="eastAsia"/>
          <w:sz w:val="28"/>
          <w:szCs w:val="28"/>
        </w:rPr>
        <w:t>龙洞景区旅游公路（杨家庄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龙洞）一期工程项目</w:t>
      </w:r>
      <w:r>
        <w:rPr>
          <w:rFonts w:ascii="仿宋_GB2312" w:eastAsia="仿宋_GB2312" w:hAnsi="仿宋_GB2312" w:cs="仿宋_GB2312" w:hint="eastAsia"/>
          <w:sz w:val="28"/>
          <w:szCs w:val="28"/>
        </w:rPr>
        <w:t>工程可行性研究报告的批复》（黎发改审发（</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137</w:t>
      </w:r>
      <w:r>
        <w:rPr>
          <w:rFonts w:ascii="仿宋_GB2312" w:eastAsia="仿宋_GB2312" w:hAnsi="仿宋_GB2312" w:cs="仿宋_GB2312" w:hint="eastAsia"/>
          <w:sz w:val="28"/>
          <w:szCs w:val="28"/>
        </w:rPr>
        <w:t>号），计划建设内容为：</w:t>
      </w:r>
      <w:r>
        <w:rPr>
          <w:rFonts w:ascii="仿宋_GB2312" w:eastAsia="仿宋_GB2312" w:hAnsi="仿宋_GB2312" w:cs="仿宋_GB2312" w:hint="eastAsia"/>
          <w:sz w:val="28"/>
          <w:szCs w:val="28"/>
        </w:rPr>
        <w:t>项目建设规模为</w:t>
      </w:r>
      <w:r>
        <w:rPr>
          <w:rFonts w:ascii="仿宋_GB2312" w:eastAsia="仿宋_GB2312" w:hAnsi="仿宋_GB2312" w:cs="仿宋_GB2312" w:hint="eastAsia"/>
          <w:sz w:val="28"/>
          <w:szCs w:val="28"/>
        </w:rPr>
        <w:t>12.231</w:t>
      </w:r>
      <w:r>
        <w:rPr>
          <w:rFonts w:ascii="仿宋_GB2312" w:eastAsia="仿宋_GB2312" w:hAnsi="仿宋_GB2312" w:cs="仿宋_GB2312" w:hint="eastAsia"/>
          <w:sz w:val="28"/>
          <w:szCs w:val="28"/>
        </w:rPr>
        <w:t>公里，全线采用三级公路技术标准，路基宽度</w:t>
      </w:r>
      <w:r>
        <w:rPr>
          <w:rFonts w:ascii="仿宋_GB2312" w:eastAsia="仿宋_GB2312" w:hAnsi="仿宋_GB2312" w:cs="仿宋_GB2312" w:hint="eastAsia"/>
          <w:sz w:val="28"/>
          <w:szCs w:val="28"/>
        </w:rPr>
        <w:t>7.5</w:t>
      </w:r>
      <w:r>
        <w:rPr>
          <w:rFonts w:ascii="仿宋_GB2312" w:eastAsia="仿宋_GB2312" w:hAnsi="仿宋_GB2312" w:cs="仿宋_GB2312" w:hint="eastAsia"/>
          <w:sz w:val="28"/>
          <w:szCs w:val="28"/>
        </w:rPr>
        <w:t>米，设计速度</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公里</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小时，桥涵汽车荷载等级公</w:t>
      </w:r>
      <w:r>
        <w:rPr>
          <w:rFonts w:ascii="仿宋_GB2312" w:eastAsia="仿宋_GB2312" w:hAnsi="仿宋_GB2312" w:cs="仿宋_GB2312" w:hint="eastAsia"/>
          <w:sz w:val="28"/>
          <w:szCs w:val="28"/>
        </w:rPr>
        <w:lastRenderedPageBreak/>
        <w:t>路一</w:t>
      </w:r>
      <w:r>
        <w:rPr>
          <w:rFonts w:ascii="仿宋_GB2312" w:eastAsia="仿宋_GB2312" w:hAnsi="仿宋_GB2312" w:cs="仿宋_GB2312" w:hint="eastAsia"/>
          <w:sz w:val="28"/>
          <w:szCs w:val="28"/>
        </w:rPr>
        <w:t>I</w:t>
      </w:r>
      <w:r>
        <w:rPr>
          <w:rFonts w:ascii="仿宋_GB2312" w:eastAsia="仿宋_GB2312" w:hAnsi="仿宋_GB2312" w:cs="仿宋_GB2312" w:hint="eastAsia"/>
          <w:sz w:val="28"/>
          <w:szCs w:val="28"/>
        </w:rPr>
        <w:t>级，路面结构为沥青混凝土。项目分两段组成</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、东社～上遥</w:t>
      </w:r>
      <w:r>
        <w:rPr>
          <w:rFonts w:ascii="仿宋_GB2312" w:eastAsia="仿宋_GB2312" w:hAnsi="仿宋_GB2312" w:cs="仿宋_GB2312" w:hint="eastAsia"/>
          <w:sz w:val="28"/>
          <w:szCs w:val="28"/>
        </w:rPr>
        <w:t>镇段，起点位于东社村与潞城市交界处，线路走向由南向北，途经正社村、西社村，终点位于上遥镇，路线全长</w:t>
      </w:r>
      <w:r>
        <w:rPr>
          <w:rFonts w:ascii="仿宋_GB2312" w:eastAsia="仿宋_GB2312" w:hAnsi="仿宋_GB2312" w:cs="仿宋_GB2312" w:hint="eastAsia"/>
          <w:sz w:val="28"/>
          <w:szCs w:val="28"/>
        </w:rPr>
        <w:t>5.6</w:t>
      </w:r>
      <w:r>
        <w:rPr>
          <w:rFonts w:ascii="仿宋_GB2312" w:eastAsia="仿宋_GB2312" w:hAnsi="仿宋_GB2312" w:cs="仿宋_GB2312" w:hint="eastAsia"/>
          <w:sz w:val="28"/>
          <w:szCs w:val="28"/>
        </w:rPr>
        <w:t>公里</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、杨家庄～石板段，起点位于杨家庄与襄垣县交界处，线路走向由北向南途经西峧沟，终点位于石板村，路线全长</w:t>
      </w:r>
      <w:r>
        <w:rPr>
          <w:rFonts w:ascii="仿宋_GB2312" w:eastAsia="仿宋_GB2312" w:hAnsi="仿宋_GB2312" w:cs="仿宋_GB2312" w:hint="eastAsia"/>
          <w:sz w:val="28"/>
          <w:szCs w:val="28"/>
        </w:rPr>
        <w:t>6.631</w:t>
      </w:r>
      <w:r>
        <w:rPr>
          <w:rFonts w:ascii="仿宋_GB2312" w:eastAsia="仿宋_GB2312" w:hAnsi="仿宋_GB2312" w:cs="仿宋_GB2312" w:hint="eastAsia"/>
          <w:sz w:val="28"/>
          <w:szCs w:val="28"/>
        </w:rPr>
        <w:t>公里。</w:t>
      </w:r>
    </w:p>
    <w:p w:rsidR="00F55CEE" w:rsidRDefault="001145CC">
      <w:pPr>
        <w:pStyle w:val="a0"/>
        <w:spacing w:line="360" w:lineRule="auto"/>
        <w:ind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黎城县交通运输局于</w:t>
      </w:r>
      <w:r>
        <w:rPr>
          <w:rFonts w:ascii="仿宋_GB2312" w:eastAsia="仿宋_GB2312" w:hAnsi="仿宋_GB2312" w:cs="仿宋_GB2312" w:hint="eastAsia"/>
          <w:sz w:val="28"/>
          <w:szCs w:val="28"/>
        </w:rPr>
        <w:t>2017</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17</w:t>
      </w:r>
      <w:r>
        <w:rPr>
          <w:rFonts w:ascii="仿宋_GB2312" w:eastAsia="仿宋_GB2312" w:hAnsi="仿宋_GB2312" w:cs="仿宋_GB2312" w:hint="eastAsia"/>
          <w:sz w:val="28"/>
          <w:szCs w:val="28"/>
        </w:rPr>
        <w:t>日与山西路桥建设集团有限公司、黎城县人民政府签订政府购买服务协议书，工期为</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年。该项目于</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11</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25</w:t>
      </w:r>
      <w:r>
        <w:rPr>
          <w:rFonts w:ascii="仿宋_GB2312" w:eastAsia="仿宋_GB2312" w:hAnsi="仿宋_GB2312" w:cs="仿宋_GB2312" w:hint="eastAsia"/>
          <w:sz w:val="28"/>
          <w:szCs w:val="28"/>
        </w:rPr>
        <w:t>日由施工单位、监理单位、设计单位、项目单位共同完成交工验收，主要工程量为：挖方</w:t>
      </w:r>
      <w:r>
        <w:rPr>
          <w:rFonts w:ascii="仿宋_GB2312" w:eastAsia="仿宋_GB2312" w:hAnsi="仿宋_GB2312" w:cs="仿宋_GB2312" w:hint="eastAsia"/>
          <w:sz w:val="28"/>
          <w:szCs w:val="28"/>
        </w:rPr>
        <w:t>311988m</w:t>
      </w:r>
      <w:r>
        <w:rPr>
          <w:rFonts w:ascii="仿宋_GB2312" w:eastAsia="仿宋_GB2312" w:hAnsi="仿宋_GB2312" w:cs="仿宋_GB2312" w:hint="eastAsia"/>
          <w:sz w:val="28"/>
          <w:szCs w:val="28"/>
          <w:vertAlign w:val="superscript"/>
        </w:rPr>
        <w:t>3</w:t>
      </w:r>
      <w:r>
        <w:rPr>
          <w:rFonts w:ascii="仿宋_GB2312" w:eastAsia="仿宋_GB2312" w:hAnsi="仿宋_GB2312" w:cs="仿宋_GB2312" w:hint="eastAsia"/>
          <w:sz w:val="28"/>
          <w:szCs w:val="28"/>
        </w:rPr>
        <w:t>，填方</w:t>
      </w:r>
      <w:r>
        <w:rPr>
          <w:rFonts w:ascii="仿宋_GB2312" w:eastAsia="仿宋_GB2312" w:hAnsi="仿宋_GB2312" w:cs="仿宋_GB2312" w:hint="eastAsia"/>
          <w:sz w:val="28"/>
          <w:szCs w:val="28"/>
        </w:rPr>
        <w:t>52372</w:t>
      </w:r>
      <w:r>
        <w:rPr>
          <w:rFonts w:ascii="仿宋_GB2312" w:eastAsia="仿宋_GB2312" w:hAnsi="仿宋_GB2312" w:cs="仿宋_GB2312" w:hint="eastAsia"/>
          <w:sz w:val="28"/>
          <w:szCs w:val="28"/>
        </w:rPr>
        <w:t>㎡，防护及排水工程</w:t>
      </w:r>
      <w:r>
        <w:rPr>
          <w:rFonts w:ascii="仿宋_GB2312" w:eastAsia="仿宋_GB2312" w:hAnsi="仿宋_GB2312" w:cs="仿宋_GB2312" w:hint="eastAsia"/>
          <w:sz w:val="28"/>
          <w:szCs w:val="28"/>
        </w:rPr>
        <w:t>20909</w:t>
      </w:r>
      <w:r>
        <w:rPr>
          <w:rFonts w:ascii="仿宋_GB2312" w:eastAsia="仿宋_GB2312" w:hAnsi="仿宋_GB2312" w:cs="仿宋_GB2312" w:hint="eastAsia"/>
          <w:sz w:val="28"/>
          <w:szCs w:val="28"/>
        </w:rPr>
        <w:t>㎡，水泥稳定碎石底基层厚</w:t>
      </w:r>
      <w:r>
        <w:rPr>
          <w:rFonts w:ascii="仿宋_GB2312" w:eastAsia="仿宋_GB2312" w:hAnsi="仿宋_GB2312" w:cs="仿宋_GB2312" w:hint="eastAsia"/>
          <w:sz w:val="28"/>
          <w:szCs w:val="28"/>
        </w:rPr>
        <w:t>200mm79971</w:t>
      </w:r>
      <w:r>
        <w:rPr>
          <w:rFonts w:ascii="仿宋_GB2312" w:eastAsia="仿宋_GB2312" w:hAnsi="仿宋_GB2312" w:cs="仿宋_GB2312" w:hint="eastAsia"/>
          <w:sz w:val="28"/>
          <w:szCs w:val="28"/>
        </w:rPr>
        <w:t>㎡，水泥稳定碎石基层厚</w:t>
      </w:r>
      <w:r>
        <w:rPr>
          <w:rFonts w:ascii="仿宋_GB2312" w:eastAsia="仿宋_GB2312" w:hAnsi="仿宋_GB2312" w:cs="仿宋_GB2312" w:hint="eastAsia"/>
          <w:sz w:val="28"/>
          <w:szCs w:val="28"/>
        </w:rPr>
        <w:t>180mm82610</w:t>
      </w:r>
      <w:r>
        <w:rPr>
          <w:rFonts w:ascii="仿宋_GB2312" w:eastAsia="仿宋_GB2312" w:hAnsi="仿宋_GB2312" w:cs="仿宋_GB2312" w:hint="eastAsia"/>
          <w:sz w:val="28"/>
          <w:szCs w:val="28"/>
        </w:rPr>
        <w:t>㎡，透层</w:t>
      </w:r>
      <w:r>
        <w:rPr>
          <w:rFonts w:ascii="仿宋_GB2312" w:eastAsia="仿宋_GB2312" w:hAnsi="仿宋_GB2312" w:cs="仿宋_GB2312" w:hint="eastAsia"/>
          <w:sz w:val="28"/>
          <w:szCs w:val="28"/>
        </w:rPr>
        <w:t>81320</w:t>
      </w:r>
      <w:r>
        <w:rPr>
          <w:rFonts w:ascii="仿宋_GB2312" w:eastAsia="仿宋_GB2312" w:hAnsi="仿宋_GB2312" w:cs="仿宋_GB2312" w:hint="eastAsia"/>
          <w:sz w:val="28"/>
          <w:szCs w:val="28"/>
        </w:rPr>
        <w:t>㎡，中粒式沥青混凝土路面厚</w:t>
      </w:r>
      <w:r>
        <w:rPr>
          <w:rFonts w:ascii="仿宋_GB2312" w:eastAsia="仿宋_GB2312" w:hAnsi="仿宋_GB2312" w:cs="仿宋_GB2312" w:hint="eastAsia"/>
          <w:sz w:val="28"/>
          <w:szCs w:val="28"/>
        </w:rPr>
        <w:t>50mm81736</w:t>
      </w:r>
      <w:r>
        <w:rPr>
          <w:rFonts w:ascii="仿宋_GB2312" w:eastAsia="仿宋_GB2312" w:hAnsi="仿宋_GB2312" w:cs="仿宋_GB2312" w:hint="eastAsia"/>
          <w:sz w:val="28"/>
          <w:szCs w:val="28"/>
        </w:rPr>
        <w:t>㎡，石板中桥</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座长</w:t>
      </w:r>
      <w:r>
        <w:rPr>
          <w:rFonts w:ascii="仿宋_GB2312" w:eastAsia="仿宋_GB2312" w:hAnsi="仿宋_GB2312" w:cs="仿宋_GB2312" w:hint="eastAsia"/>
          <w:sz w:val="28"/>
          <w:szCs w:val="28"/>
        </w:rPr>
        <w:t>52.08m</w:t>
      </w:r>
      <w:r>
        <w:rPr>
          <w:rFonts w:ascii="仿宋_GB2312" w:eastAsia="仿宋_GB2312" w:hAnsi="仿宋_GB2312" w:cs="仿宋_GB2312" w:hint="eastAsia"/>
          <w:sz w:val="28"/>
          <w:szCs w:val="28"/>
        </w:rPr>
        <w:t>，钢筋混凝土盖板涵接长</w:t>
      </w:r>
      <w:r>
        <w:rPr>
          <w:rFonts w:ascii="仿宋_GB2312" w:eastAsia="仿宋_GB2312" w:hAnsi="仿宋_GB2312" w:cs="仿宋_GB2312" w:hint="eastAsia"/>
          <w:sz w:val="28"/>
          <w:szCs w:val="28"/>
        </w:rPr>
        <w:t>41.85m</w:t>
      </w:r>
      <w:r>
        <w:rPr>
          <w:rFonts w:ascii="仿宋_GB2312" w:eastAsia="仿宋_GB2312" w:hAnsi="仿宋_GB2312" w:cs="仿宋_GB2312" w:hint="eastAsia"/>
          <w:sz w:val="28"/>
          <w:szCs w:val="28"/>
        </w:rPr>
        <w:t>，拱涵接长</w:t>
      </w:r>
      <w:r>
        <w:rPr>
          <w:rFonts w:ascii="仿宋_GB2312" w:eastAsia="仿宋_GB2312" w:hAnsi="仿宋_GB2312" w:cs="仿宋_GB2312" w:hint="eastAsia"/>
          <w:sz w:val="28"/>
          <w:szCs w:val="28"/>
        </w:rPr>
        <w:t>5.8m</w:t>
      </w:r>
      <w:r>
        <w:rPr>
          <w:rFonts w:ascii="仿宋_GB2312" w:eastAsia="仿宋_GB2312" w:hAnsi="仿宋_GB2312" w:cs="仿宋_GB2312" w:hint="eastAsia"/>
          <w:sz w:val="28"/>
          <w:szCs w:val="28"/>
        </w:rPr>
        <w:t>，钢筋混凝土圆管涵</w:t>
      </w:r>
      <w:r>
        <w:rPr>
          <w:rFonts w:ascii="仿宋_GB2312" w:eastAsia="仿宋_GB2312" w:hAnsi="仿宋_GB2312" w:cs="仿宋_GB2312" w:hint="eastAsia"/>
          <w:sz w:val="28"/>
          <w:szCs w:val="28"/>
        </w:rPr>
        <w:t>90m</w:t>
      </w:r>
      <w:r>
        <w:rPr>
          <w:rFonts w:ascii="仿宋_GB2312" w:eastAsia="仿宋_GB2312" w:hAnsi="仿宋_GB2312" w:cs="仿宋_GB2312" w:hint="eastAsia"/>
          <w:sz w:val="28"/>
          <w:szCs w:val="28"/>
        </w:rPr>
        <w:t>，钢波纹管涵长</w:t>
      </w:r>
      <w:r>
        <w:rPr>
          <w:rFonts w:ascii="仿宋_GB2312" w:eastAsia="仿宋_GB2312" w:hAnsi="仿宋_GB2312" w:cs="仿宋_GB2312" w:hint="eastAsia"/>
          <w:sz w:val="28"/>
          <w:szCs w:val="28"/>
        </w:rPr>
        <w:t>88m</w:t>
      </w:r>
      <w:r>
        <w:rPr>
          <w:rFonts w:ascii="仿宋_GB2312" w:eastAsia="仿宋_GB2312" w:hAnsi="仿宋_GB2312" w:cs="仿宋_GB2312" w:hint="eastAsia"/>
          <w:sz w:val="28"/>
          <w:szCs w:val="28"/>
        </w:rPr>
        <w:t>，护栏</w:t>
      </w:r>
      <w:r>
        <w:rPr>
          <w:rFonts w:ascii="仿宋_GB2312" w:eastAsia="仿宋_GB2312" w:hAnsi="仿宋_GB2312" w:cs="仿宋_GB2312" w:hint="eastAsia"/>
          <w:sz w:val="28"/>
          <w:szCs w:val="28"/>
        </w:rPr>
        <w:t>4036m</w:t>
      </w:r>
      <w:r>
        <w:rPr>
          <w:rFonts w:ascii="仿宋_GB2312" w:eastAsia="仿宋_GB2312" w:hAnsi="仿宋_GB2312" w:cs="仿宋_GB2312" w:hint="eastAsia"/>
          <w:sz w:val="28"/>
          <w:szCs w:val="28"/>
        </w:rPr>
        <w:t>，交通标志</w:t>
      </w:r>
      <w:r>
        <w:rPr>
          <w:rFonts w:ascii="仿宋_GB2312" w:eastAsia="仿宋_GB2312" w:hAnsi="仿宋_GB2312" w:cs="仿宋_GB2312" w:hint="eastAsia"/>
          <w:sz w:val="28"/>
          <w:szCs w:val="28"/>
        </w:rPr>
        <w:t>40</w:t>
      </w:r>
      <w:r>
        <w:rPr>
          <w:rFonts w:ascii="仿宋_GB2312" w:eastAsia="仿宋_GB2312" w:hAnsi="仿宋_GB2312" w:cs="仿宋_GB2312" w:hint="eastAsia"/>
          <w:sz w:val="28"/>
          <w:szCs w:val="28"/>
        </w:rPr>
        <w:t>个，里程碑</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个，百米桩</w:t>
      </w:r>
      <w:r>
        <w:rPr>
          <w:rFonts w:ascii="仿宋_GB2312" w:eastAsia="仿宋_GB2312" w:hAnsi="仿宋_GB2312" w:cs="仿宋_GB2312" w:hint="eastAsia"/>
          <w:sz w:val="28"/>
          <w:szCs w:val="28"/>
        </w:rPr>
        <w:t>111</w:t>
      </w:r>
      <w:r>
        <w:rPr>
          <w:rFonts w:ascii="仿宋_GB2312" w:eastAsia="仿宋_GB2312" w:hAnsi="仿宋_GB2312" w:cs="仿宋_GB2312" w:hint="eastAsia"/>
          <w:sz w:val="28"/>
          <w:szCs w:val="28"/>
        </w:rPr>
        <w:t>个，道口标注</w:t>
      </w:r>
      <w:r>
        <w:rPr>
          <w:rFonts w:ascii="仿宋_GB2312" w:eastAsia="仿宋_GB2312" w:hAnsi="仿宋_GB2312" w:cs="仿宋_GB2312" w:hint="eastAsia"/>
          <w:sz w:val="28"/>
          <w:szCs w:val="28"/>
        </w:rPr>
        <w:t>132</w:t>
      </w:r>
      <w:r>
        <w:rPr>
          <w:rFonts w:ascii="仿宋_GB2312" w:eastAsia="仿宋_GB2312" w:hAnsi="仿宋_GB2312" w:cs="仿宋_GB2312" w:hint="eastAsia"/>
          <w:sz w:val="28"/>
          <w:szCs w:val="28"/>
        </w:rPr>
        <w:t>个，路面标线</w:t>
      </w:r>
      <w:r>
        <w:rPr>
          <w:rFonts w:ascii="仿宋_GB2312" w:eastAsia="仿宋_GB2312" w:hAnsi="仿宋_GB2312" w:cs="仿宋_GB2312" w:hint="eastAsia"/>
          <w:sz w:val="28"/>
          <w:szCs w:val="28"/>
        </w:rPr>
        <w:t>1222.551m</w:t>
      </w:r>
      <w:r>
        <w:rPr>
          <w:rFonts w:ascii="仿宋_GB2312" w:eastAsia="仿宋_GB2312" w:hAnsi="仿宋_GB2312" w:cs="仿宋_GB2312" w:hint="eastAsia"/>
          <w:sz w:val="28"/>
          <w:szCs w:val="28"/>
          <w:vertAlign w:val="superscript"/>
        </w:rPr>
        <w:t>2</w:t>
      </w:r>
      <w:r>
        <w:rPr>
          <w:rFonts w:ascii="仿宋_GB2312" w:eastAsia="仿宋_GB2312" w:hAnsi="仿宋_GB2312" w:cs="仿宋_GB2312" w:hint="eastAsia"/>
          <w:sz w:val="28"/>
          <w:szCs w:val="28"/>
        </w:rPr>
        <w:t>，撒播草种</w:t>
      </w:r>
      <w:r>
        <w:rPr>
          <w:rFonts w:ascii="仿宋_GB2312" w:eastAsia="仿宋_GB2312" w:hAnsi="仿宋_GB2312" w:cs="仿宋_GB2312" w:hint="eastAsia"/>
          <w:sz w:val="28"/>
          <w:szCs w:val="28"/>
        </w:rPr>
        <w:t>58733.5</w:t>
      </w:r>
      <w:r>
        <w:rPr>
          <w:rFonts w:ascii="仿宋_GB2312" w:eastAsia="仿宋_GB2312" w:hAnsi="仿宋_GB2312" w:cs="仿宋_GB2312" w:hint="eastAsia"/>
          <w:sz w:val="28"/>
          <w:szCs w:val="28"/>
        </w:rPr>
        <w:t>㎡及其他工程等。</w:t>
      </w:r>
    </w:p>
    <w:p w:rsidR="00F55CEE" w:rsidRDefault="001145CC">
      <w:pPr>
        <w:pStyle w:val="a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太行一号旅游公路长治县道西东线（西井至板山段）工程。</w:t>
      </w:r>
      <w:r>
        <w:rPr>
          <w:rFonts w:ascii="仿宋_GB2312" w:eastAsia="仿宋_GB2312" w:hAnsi="仿宋_GB2312" w:cs="仿宋_GB2312" w:hint="eastAsia"/>
          <w:sz w:val="28"/>
          <w:szCs w:val="28"/>
        </w:rPr>
        <w:t>依据《关于</w:t>
      </w:r>
      <w:r>
        <w:rPr>
          <w:rFonts w:ascii="仿宋_GB2312" w:eastAsia="仿宋_GB2312" w:hAnsi="仿宋_GB2312" w:cs="仿宋_GB2312" w:hint="eastAsia"/>
          <w:sz w:val="28"/>
          <w:szCs w:val="28"/>
        </w:rPr>
        <w:t>太行一号旅游公路长治</w:t>
      </w:r>
      <w:r>
        <w:rPr>
          <w:rFonts w:ascii="仿宋_GB2312" w:eastAsia="仿宋_GB2312" w:hAnsi="仿宋_GB2312" w:cs="仿宋_GB2312" w:hint="eastAsia"/>
          <w:sz w:val="28"/>
          <w:szCs w:val="28"/>
        </w:rPr>
        <w:t>县道西东线（西井至板山段）工程项目</w:t>
      </w:r>
      <w:r>
        <w:rPr>
          <w:rFonts w:ascii="仿宋_GB2312" w:eastAsia="仿宋_GB2312" w:hAnsi="仿宋_GB2312" w:cs="仿宋_GB2312" w:hint="eastAsia"/>
          <w:sz w:val="28"/>
          <w:szCs w:val="28"/>
        </w:rPr>
        <w:t>工程可行性研究报告的批复》（黎发改审发（</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18</w:t>
      </w:r>
      <w:r>
        <w:rPr>
          <w:rFonts w:ascii="仿宋_GB2312" w:eastAsia="仿宋_GB2312" w:hAnsi="仿宋_GB2312" w:cs="仿宋_GB2312" w:hint="eastAsia"/>
          <w:sz w:val="28"/>
          <w:szCs w:val="28"/>
        </w:rPr>
        <w:t>号），计划建设内容为：</w:t>
      </w:r>
      <w:r>
        <w:rPr>
          <w:rFonts w:ascii="仿宋_GB2312" w:eastAsia="仿宋_GB2312" w:hAnsi="仿宋_GB2312" w:cs="仿宋_GB2312" w:hint="eastAsia"/>
          <w:sz w:val="28"/>
          <w:szCs w:val="28"/>
        </w:rPr>
        <w:t>项目实施地位于西井镇，起点位于西井镇南</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与国道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线相接处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，起点桩号</w:t>
      </w:r>
      <w:r>
        <w:rPr>
          <w:rFonts w:ascii="仿宋_GB2312" w:eastAsia="仿宋_GB2312" w:hAnsi="仿宋_GB2312" w:cs="仿宋_GB2312" w:hint="eastAsia"/>
          <w:sz w:val="28"/>
          <w:szCs w:val="28"/>
        </w:rPr>
        <w:t>KO+000</w:t>
      </w:r>
      <w:r>
        <w:rPr>
          <w:rFonts w:ascii="仿宋_GB2312" w:eastAsia="仿宋_GB2312" w:hAnsi="仿宋_GB2312" w:cs="仿宋_GB2312" w:hint="eastAsia"/>
          <w:sz w:val="28"/>
          <w:szCs w:val="28"/>
        </w:rPr>
        <w:t>，沿原有旧路走廊带布线，经栗家</w:t>
      </w:r>
      <w:r>
        <w:rPr>
          <w:rFonts w:ascii="仿宋_GB2312" w:eastAsia="仿宋_GB2312" w:hAnsi="仿宋_GB2312" w:cs="仿宋_GB2312" w:hint="eastAsia"/>
          <w:sz w:val="28"/>
          <w:szCs w:val="28"/>
        </w:rPr>
        <w:lastRenderedPageBreak/>
        <w:t>村、彭庄村、背坡村、卜牛村，终点位于黎城县板山风景区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与武乡县交界处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，终点桩号</w:t>
      </w:r>
      <w:r>
        <w:rPr>
          <w:rFonts w:ascii="仿宋_GB2312" w:eastAsia="仿宋_GB2312" w:hAnsi="仿宋_GB2312" w:cs="仿宋_GB2312" w:hint="eastAsia"/>
          <w:sz w:val="28"/>
          <w:szCs w:val="28"/>
        </w:rPr>
        <w:t>K20+689</w:t>
      </w:r>
      <w:r>
        <w:rPr>
          <w:rFonts w:ascii="仿宋_GB2312" w:eastAsia="仿宋_GB2312" w:hAnsi="仿宋_GB2312" w:cs="仿宋_GB2312" w:hint="eastAsia"/>
          <w:sz w:val="28"/>
          <w:szCs w:val="28"/>
        </w:rPr>
        <w:t>，路线全长</w:t>
      </w:r>
      <w:r>
        <w:rPr>
          <w:rFonts w:ascii="仿宋_GB2312" w:eastAsia="仿宋_GB2312" w:hAnsi="仿宋_GB2312" w:cs="仿宋_GB2312" w:hint="eastAsia"/>
          <w:sz w:val="28"/>
          <w:szCs w:val="28"/>
        </w:rPr>
        <w:t>20.689</w:t>
      </w:r>
      <w:r>
        <w:rPr>
          <w:rFonts w:ascii="仿宋_GB2312" w:eastAsia="仿宋_GB2312" w:hAnsi="仿宋_GB2312" w:cs="仿宋_GB2312" w:hint="eastAsia"/>
          <w:sz w:val="28"/>
          <w:szCs w:val="28"/>
        </w:rPr>
        <w:t>公里，其中</w:t>
      </w:r>
      <w:r>
        <w:rPr>
          <w:rFonts w:ascii="仿宋_GB2312" w:eastAsia="仿宋_GB2312" w:hAnsi="仿宋_GB2312" w:cs="仿宋_GB2312" w:hint="eastAsia"/>
          <w:sz w:val="28"/>
          <w:szCs w:val="28"/>
        </w:rPr>
        <w:t>:K0+000-K6+800</w:t>
      </w:r>
      <w:r>
        <w:rPr>
          <w:rFonts w:ascii="仿宋_GB2312" w:eastAsia="仿宋_GB2312" w:hAnsi="仿宋_GB2312" w:cs="仿宋_GB2312" w:hint="eastAsia"/>
          <w:sz w:val="28"/>
          <w:szCs w:val="28"/>
        </w:rPr>
        <w:t>段，采用三级公路技术标准建设，</w:t>
      </w:r>
      <w:r>
        <w:rPr>
          <w:rFonts w:ascii="仿宋_GB2312" w:eastAsia="仿宋_GB2312" w:hAnsi="仿宋_GB2312" w:cs="仿宋_GB2312" w:hint="eastAsia"/>
          <w:sz w:val="28"/>
          <w:szCs w:val="28"/>
        </w:rPr>
        <w:t>K6+800-K20+689</w:t>
      </w:r>
      <w:r>
        <w:rPr>
          <w:rFonts w:ascii="仿宋_GB2312" w:eastAsia="仿宋_GB2312" w:hAnsi="仿宋_GB2312" w:cs="仿宋_GB2312" w:hint="eastAsia"/>
          <w:sz w:val="28"/>
          <w:szCs w:val="28"/>
        </w:rPr>
        <w:t>段，无法满足三级公路技术标准的，沿用旧路线形指标进行布线，同时限制运行速度，</w:t>
      </w:r>
      <w:r>
        <w:rPr>
          <w:rFonts w:ascii="仿宋_GB2312" w:eastAsia="仿宋_GB2312" w:hAnsi="仿宋_GB2312" w:cs="仿宋_GB2312" w:hint="eastAsia"/>
          <w:sz w:val="28"/>
          <w:szCs w:val="28"/>
        </w:rPr>
        <w:t>增加严格的限速标志、设施等</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路基宽度</w:t>
      </w:r>
      <w:r>
        <w:rPr>
          <w:rFonts w:ascii="仿宋_GB2312" w:eastAsia="仿宋_GB2312" w:hAnsi="仿宋_GB2312" w:cs="仿宋_GB2312" w:hint="eastAsia"/>
          <w:sz w:val="28"/>
          <w:szCs w:val="28"/>
        </w:rPr>
        <w:t>7.5</w:t>
      </w:r>
      <w:r>
        <w:rPr>
          <w:rFonts w:ascii="仿宋_GB2312" w:eastAsia="仿宋_GB2312" w:hAnsi="仿宋_GB2312" w:cs="仿宋_GB2312" w:hint="eastAsia"/>
          <w:sz w:val="28"/>
          <w:szCs w:val="28"/>
        </w:rPr>
        <w:t>米，路面结构沥青混凝土，桥涵汽车荷载等级为公路</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Ⅱ级。</w:t>
      </w:r>
    </w:p>
    <w:p w:rsidR="00F55CEE" w:rsidRDefault="001145CC">
      <w:pPr>
        <w:pStyle w:val="a0"/>
        <w:spacing w:line="360" w:lineRule="auto"/>
        <w:ind w:firstLine="560"/>
        <w:jc w:val="left"/>
        <w:rPr>
          <w:rFonts w:ascii="仿宋_GB2312" w:eastAsia="仿宋_GB2312" w:hAnsi="仿宋_GB2312" w:cs="仿宋_GB2312"/>
          <w:sz w:val="28"/>
          <w:szCs w:val="28"/>
        </w:rPr>
      </w:pPr>
      <w:bookmarkStart w:id="132" w:name="_Toc4732"/>
      <w:bookmarkStart w:id="133" w:name="_Toc19018"/>
      <w:r>
        <w:rPr>
          <w:rFonts w:ascii="仿宋_GB2312" w:eastAsia="仿宋_GB2312" w:hAnsi="仿宋_GB2312" w:cs="仿宋_GB2312" w:hint="eastAsia"/>
          <w:sz w:val="28"/>
          <w:szCs w:val="28"/>
        </w:rPr>
        <w:t>黎城县交通运输局于</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19</w:t>
      </w:r>
      <w:r>
        <w:rPr>
          <w:rFonts w:ascii="仿宋_GB2312" w:eastAsia="仿宋_GB2312" w:hAnsi="仿宋_GB2312" w:cs="仿宋_GB2312" w:hint="eastAsia"/>
          <w:sz w:val="28"/>
          <w:szCs w:val="28"/>
        </w:rPr>
        <w:t>日与河南锦达建设有限公司签订工程第一标段施工合同，工期为</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年，合同内容为：工程由</w:t>
      </w:r>
      <w:r>
        <w:rPr>
          <w:rFonts w:ascii="仿宋_GB2312" w:eastAsia="仿宋_GB2312" w:hAnsi="仿宋_GB2312" w:cs="仿宋_GB2312" w:hint="eastAsia"/>
          <w:sz w:val="28"/>
          <w:szCs w:val="28"/>
        </w:rPr>
        <w:t>K0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000</w:t>
      </w:r>
      <w:r>
        <w:rPr>
          <w:rFonts w:ascii="仿宋_GB2312" w:eastAsia="仿宋_GB2312" w:hAnsi="仿宋_GB2312" w:cs="仿宋_GB2312" w:hint="eastAsia"/>
          <w:sz w:val="28"/>
          <w:szCs w:val="28"/>
        </w:rPr>
        <w:t>至</w:t>
      </w:r>
      <w:r>
        <w:rPr>
          <w:rFonts w:ascii="仿宋_GB2312" w:eastAsia="仿宋_GB2312" w:hAnsi="仿宋_GB2312" w:cs="仿宋_GB2312" w:hint="eastAsia"/>
          <w:sz w:val="28"/>
          <w:szCs w:val="28"/>
        </w:rPr>
        <w:t>K8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000</w:t>
      </w:r>
      <w:r>
        <w:rPr>
          <w:rFonts w:ascii="仿宋_GB2312" w:eastAsia="仿宋_GB2312" w:hAnsi="仿宋_GB2312" w:cs="仿宋_GB2312" w:hint="eastAsia"/>
          <w:sz w:val="28"/>
          <w:szCs w:val="28"/>
        </w:rPr>
        <w:t>，长约</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公里，路基宽度</w:t>
      </w:r>
      <w:r>
        <w:rPr>
          <w:rFonts w:ascii="仿宋_GB2312" w:eastAsia="仿宋_GB2312" w:hAnsi="仿宋_GB2312" w:cs="仿宋_GB2312" w:hint="eastAsia"/>
          <w:sz w:val="28"/>
          <w:szCs w:val="28"/>
        </w:rPr>
        <w:t>7.5</w:t>
      </w:r>
      <w:r>
        <w:rPr>
          <w:rFonts w:ascii="仿宋_GB2312" w:eastAsia="仿宋_GB2312" w:hAnsi="仿宋_GB2312" w:cs="仿宋_GB2312" w:hint="eastAsia"/>
          <w:sz w:val="28"/>
          <w:szCs w:val="28"/>
        </w:rPr>
        <w:t>米，沥青混凝土路面，其中：</w:t>
      </w:r>
      <w:r>
        <w:rPr>
          <w:rFonts w:ascii="仿宋_GB2312" w:eastAsia="仿宋_GB2312" w:hAnsi="仿宋_GB2312" w:cs="仿宋_GB2312" w:hint="eastAsia"/>
          <w:sz w:val="28"/>
          <w:szCs w:val="28"/>
        </w:rPr>
        <w:t>K0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000-K6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800</w:t>
      </w:r>
      <w:r>
        <w:rPr>
          <w:rFonts w:ascii="仿宋_GB2312" w:eastAsia="仿宋_GB2312" w:hAnsi="仿宋_GB2312" w:cs="仿宋_GB2312" w:hint="eastAsia"/>
          <w:sz w:val="28"/>
          <w:szCs w:val="28"/>
        </w:rPr>
        <w:t>段，采用三级公路技术标准，设计速度</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公里／小时；</w:t>
      </w:r>
      <w:r>
        <w:rPr>
          <w:rFonts w:ascii="仿宋_GB2312" w:eastAsia="仿宋_GB2312" w:hAnsi="仿宋_GB2312" w:cs="仿宋_GB2312" w:hint="eastAsia"/>
          <w:sz w:val="28"/>
          <w:szCs w:val="28"/>
        </w:rPr>
        <w:t>K6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800-K8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 xml:space="preserve">000 </w:t>
      </w:r>
      <w:r>
        <w:rPr>
          <w:rFonts w:ascii="仿宋_GB2312" w:eastAsia="仿宋_GB2312" w:hAnsi="仿宋_GB2312" w:cs="仿宋_GB2312" w:hint="eastAsia"/>
          <w:sz w:val="28"/>
          <w:szCs w:val="28"/>
        </w:rPr>
        <w:t>段为等外路，参照四级公路标准设计，设计速度按</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公里／小时执行，同时严格限制速度，加强交通安全设施。工程主要建设内</w:t>
      </w:r>
      <w:r>
        <w:rPr>
          <w:rFonts w:ascii="仿宋_GB2312" w:eastAsia="仿宋_GB2312" w:hAnsi="仿宋_GB2312" w:cs="仿宋_GB2312" w:hint="eastAsia"/>
          <w:sz w:val="28"/>
          <w:szCs w:val="28"/>
        </w:rPr>
        <w:t>容为路基、路面以及其他构造物工程等。黎城县交通运输局于</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19</w:t>
      </w:r>
      <w:r>
        <w:rPr>
          <w:rFonts w:ascii="仿宋_GB2312" w:eastAsia="仿宋_GB2312" w:hAnsi="仿宋_GB2312" w:cs="仿宋_GB2312" w:hint="eastAsia"/>
          <w:sz w:val="28"/>
          <w:szCs w:val="28"/>
        </w:rPr>
        <w:t>日与林州市顺鑫建筑有限公司签订工程第二标段施工合同，工期为</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年。合同内容为：该标段工程由</w:t>
      </w:r>
      <w:r>
        <w:rPr>
          <w:rFonts w:ascii="仿宋_GB2312" w:eastAsia="仿宋_GB2312" w:hAnsi="仿宋_GB2312" w:cs="仿宋_GB2312" w:hint="eastAsia"/>
          <w:sz w:val="28"/>
          <w:szCs w:val="28"/>
        </w:rPr>
        <w:t>K8+00</w:t>
      </w:r>
      <w:r>
        <w:rPr>
          <w:rFonts w:ascii="仿宋_GB2312" w:eastAsia="仿宋_GB2312" w:hAnsi="仿宋_GB2312" w:cs="仿宋_GB2312" w:hint="eastAsia"/>
          <w:sz w:val="28"/>
          <w:szCs w:val="28"/>
        </w:rPr>
        <w:t>至</w:t>
      </w:r>
      <w:r>
        <w:rPr>
          <w:rFonts w:ascii="仿宋_GB2312" w:eastAsia="仿宋_GB2312" w:hAnsi="仿宋_GB2312" w:cs="仿宋_GB2312" w:hint="eastAsia"/>
          <w:sz w:val="28"/>
          <w:szCs w:val="28"/>
        </w:rPr>
        <w:t>K20+690</w:t>
      </w:r>
      <w:r>
        <w:rPr>
          <w:rFonts w:ascii="仿宋_GB2312" w:eastAsia="仿宋_GB2312" w:hAnsi="仿宋_GB2312" w:cs="仿宋_GB2312" w:hint="eastAsia"/>
          <w:sz w:val="28"/>
          <w:szCs w:val="28"/>
        </w:rPr>
        <w:t>，长约</w:t>
      </w:r>
      <w:r>
        <w:rPr>
          <w:rFonts w:ascii="仿宋_GB2312" w:eastAsia="仿宋_GB2312" w:hAnsi="仿宋_GB2312" w:cs="仿宋_GB2312" w:hint="eastAsia"/>
          <w:sz w:val="28"/>
          <w:szCs w:val="28"/>
        </w:rPr>
        <w:t>12.69</w:t>
      </w:r>
      <w:r>
        <w:rPr>
          <w:rFonts w:ascii="仿宋_GB2312" w:eastAsia="仿宋_GB2312" w:hAnsi="仿宋_GB2312" w:cs="仿宋_GB2312" w:hint="eastAsia"/>
          <w:sz w:val="28"/>
          <w:szCs w:val="28"/>
        </w:rPr>
        <w:t>公里，路基宽度</w:t>
      </w:r>
      <w:r>
        <w:rPr>
          <w:rFonts w:ascii="仿宋_GB2312" w:eastAsia="仿宋_GB2312" w:hAnsi="仿宋_GB2312" w:cs="仿宋_GB2312" w:hint="eastAsia"/>
          <w:sz w:val="28"/>
          <w:szCs w:val="28"/>
        </w:rPr>
        <w:t>7.5</w:t>
      </w:r>
      <w:r>
        <w:rPr>
          <w:rFonts w:ascii="仿宋_GB2312" w:eastAsia="仿宋_GB2312" w:hAnsi="仿宋_GB2312" w:cs="仿宋_GB2312" w:hint="eastAsia"/>
          <w:sz w:val="28"/>
          <w:szCs w:val="28"/>
        </w:rPr>
        <w:t>米，沥青混凝土路面，参照四级公路标准设计，设计速度按</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公里</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小时执行，同时严格限制速度，加强交通安全设施。工程主要建设内容为路基、路面以及其他构造物工程等。截至目前，该项目主体工程已完成，尚部分辅助工程未完，未进行交工验收。</w:t>
      </w:r>
    </w:p>
    <w:p w:rsidR="00F55CEE" w:rsidRDefault="001145CC">
      <w:pPr>
        <w:pStyle w:val="2"/>
        <w:spacing w:before="0" w:line="360" w:lineRule="auto"/>
        <w:ind w:firstLineChars="200" w:firstLine="560"/>
        <w:rPr>
          <w:rFonts w:ascii="楷体_GB2312" w:eastAsia="楷体_GB2312" w:hAnsi="楷体_GB2312" w:cs="楷体_GB2312"/>
          <w:b w:val="0"/>
          <w:bCs w:val="0"/>
          <w:sz w:val="28"/>
          <w:szCs w:val="28"/>
        </w:rPr>
      </w:pPr>
      <w:bookmarkStart w:id="134" w:name="_Toc4835"/>
      <w:r>
        <w:rPr>
          <w:rFonts w:ascii="楷体_GB2312" w:eastAsia="楷体_GB2312" w:hAnsi="楷体_GB2312" w:cs="楷体_GB2312" w:hint="eastAsia"/>
          <w:b w:val="0"/>
          <w:bCs w:val="0"/>
          <w:sz w:val="28"/>
          <w:szCs w:val="28"/>
        </w:rPr>
        <w:t>（五）项目组织</w:t>
      </w:r>
      <w:bookmarkEnd w:id="132"/>
      <w:bookmarkEnd w:id="133"/>
      <w:r>
        <w:rPr>
          <w:rFonts w:ascii="楷体_GB2312" w:eastAsia="楷体_GB2312" w:hAnsi="楷体_GB2312" w:cs="楷体_GB2312" w:hint="eastAsia"/>
          <w:b w:val="0"/>
          <w:bCs w:val="0"/>
          <w:sz w:val="28"/>
          <w:szCs w:val="28"/>
        </w:rPr>
        <w:t>管理</w:t>
      </w:r>
      <w:bookmarkEnd w:id="134"/>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lastRenderedPageBreak/>
        <w:t>1.</w:t>
      </w:r>
      <w:r>
        <w:rPr>
          <w:rFonts w:ascii="仿宋_GB2312" w:eastAsia="仿宋_GB2312" w:hAnsi="仿宋_GB2312" w:cs="仿宋_GB2312" w:hint="eastAsia"/>
          <w:spacing w:val="15"/>
          <w:sz w:val="28"/>
          <w:szCs w:val="28"/>
        </w:rPr>
        <w:t>项目组织机构</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为保证项目的顺利实施，特成立项目部，由黎城县交通运输局项目部组织实施该项目。项目实施涉及各相关组织职能：</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黎城</w:t>
      </w:r>
      <w:r>
        <w:rPr>
          <w:rFonts w:ascii="仿宋_GB2312" w:eastAsia="仿宋_GB2312" w:hAnsi="仿宋_GB2312" w:cs="仿宋_GB2312" w:hint="eastAsia"/>
          <w:spacing w:val="15"/>
          <w:sz w:val="28"/>
          <w:szCs w:val="28"/>
        </w:rPr>
        <w:t>县政府：主要负责项目的审批、资金筹集及地方协调等工作。</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县交通运输局：作为建设管理单位，具体责任项目的组织实施以及项目监督管理。</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县</w:t>
      </w:r>
      <w:r>
        <w:rPr>
          <w:rFonts w:ascii="仿宋_GB2312" w:eastAsia="仿宋_GB2312" w:hAnsi="仿宋_GB2312" w:cs="仿宋_GB2312" w:hint="eastAsia"/>
          <w:spacing w:val="15"/>
          <w:sz w:val="28"/>
          <w:szCs w:val="28"/>
        </w:rPr>
        <w:t>发改局：负责项目的立项审批工作。</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县</w:t>
      </w:r>
      <w:r>
        <w:rPr>
          <w:rFonts w:ascii="仿宋_GB2312" w:eastAsia="仿宋_GB2312" w:hAnsi="仿宋_GB2312" w:cs="仿宋_GB2312" w:hint="eastAsia"/>
          <w:spacing w:val="15"/>
          <w:sz w:val="28"/>
          <w:szCs w:val="28"/>
        </w:rPr>
        <w:t>财政局：负责项目资金的筹集、拨付、使用监督。将项目资金列入财政预算，确保项目资金及时到位。</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县</w:t>
      </w:r>
      <w:r>
        <w:rPr>
          <w:rFonts w:ascii="仿宋_GB2312" w:eastAsia="仿宋_GB2312" w:hAnsi="仿宋_GB2312" w:cs="仿宋_GB2312" w:hint="eastAsia"/>
          <w:spacing w:val="15"/>
          <w:sz w:val="28"/>
          <w:szCs w:val="28"/>
        </w:rPr>
        <w:t>交警队：负责施工路段交通管制公告的发布及项目实施期间该路段交通管制、疏导等工作。</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项目施工单位：山西亿承建设工程有限公司</w:t>
      </w:r>
      <w:r>
        <w:rPr>
          <w:rFonts w:ascii="仿宋_GB2312" w:eastAsia="仿宋_GB2312" w:hAnsi="仿宋_GB2312" w:cs="仿宋_GB2312" w:hint="eastAsia"/>
          <w:spacing w:val="15"/>
          <w:sz w:val="28"/>
          <w:szCs w:val="28"/>
        </w:rPr>
        <w:t>、河南恒通公路桥梁建</w:t>
      </w:r>
      <w:r>
        <w:rPr>
          <w:rFonts w:ascii="仿宋_GB2312" w:eastAsia="仿宋_GB2312" w:hAnsi="仿宋_GB2312" w:cs="仿宋_GB2312" w:hint="eastAsia"/>
          <w:spacing w:val="15"/>
          <w:sz w:val="28"/>
          <w:szCs w:val="28"/>
        </w:rPr>
        <w:t>设有限公司、河南锦达建设有限公司、山西路桥建设集团有限公司、河南锦达建设有限公司、林州市顺鑫建筑有限公司</w:t>
      </w:r>
      <w:r>
        <w:rPr>
          <w:rFonts w:ascii="仿宋_GB2312" w:eastAsia="仿宋_GB2312" w:hAnsi="仿宋_GB2312" w:cs="仿宋_GB2312" w:hint="eastAsia"/>
          <w:spacing w:val="15"/>
          <w:sz w:val="28"/>
          <w:szCs w:val="28"/>
        </w:rPr>
        <w:t>负责</w:t>
      </w:r>
      <w:r>
        <w:rPr>
          <w:rFonts w:ascii="仿宋_GB2312" w:eastAsia="仿宋_GB2312" w:hAnsi="仿宋_GB2312" w:cs="仿宋_GB2312" w:hint="eastAsia"/>
          <w:spacing w:val="15"/>
          <w:sz w:val="28"/>
          <w:szCs w:val="28"/>
        </w:rPr>
        <w:t>各标段</w:t>
      </w:r>
      <w:r>
        <w:rPr>
          <w:rFonts w:ascii="仿宋_GB2312" w:eastAsia="仿宋_GB2312" w:hAnsi="仿宋_GB2312" w:cs="仿宋_GB2312" w:hint="eastAsia"/>
          <w:spacing w:val="15"/>
          <w:sz w:val="28"/>
          <w:szCs w:val="28"/>
        </w:rPr>
        <w:t>的具体施工，按照施工合同约定使工程达到预定可使用状态。</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项目设计单位：太原市炳坤公路勘察设计咨询有限公司</w:t>
      </w: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天津市公路工程设计研究院、长治市通明公路勘察设计有限公司等</w:t>
      </w:r>
      <w:r>
        <w:rPr>
          <w:rFonts w:ascii="仿宋_GB2312" w:eastAsia="仿宋_GB2312" w:hAnsi="仿宋_GB2312" w:cs="仿宋_GB2312" w:hint="eastAsia"/>
          <w:spacing w:val="15"/>
          <w:sz w:val="28"/>
          <w:szCs w:val="28"/>
        </w:rPr>
        <w:t>按技术标准和相关规定，准确合理的对工程进行设计，并出具施工图纸。</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项目监理单位：河南晟源路桥工程管理有限公司</w:t>
      </w: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山西正</w:t>
      </w:r>
      <w:r>
        <w:rPr>
          <w:rFonts w:ascii="仿宋_GB2312" w:eastAsia="仿宋_GB2312" w:hAnsi="仿宋_GB2312" w:cs="仿宋_GB2312" w:hint="eastAsia"/>
          <w:spacing w:val="15"/>
          <w:sz w:val="28"/>
          <w:szCs w:val="28"/>
        </w:rPr>
        <w:lastRenderedPageBreak/>
        <w:t>达通畅建设工程监理有限公司、河南社诚工程监理有限公司、山西昕路远建设工程监理有限公司</w:t>
      </w:r>
      <w:r>
        <w:rPr>
          <w:rFonts w:ascii="仿宋_GB2312" w:eastAsia="仿宋_GB2312" w:hAnsi="仿宋_GB2312" w:cs="仿宋_GB2312" w:hint="eastAsia"/>
          <w:spacing w:val="15"/>
          <w:sz w:val="28"/>
          <w:szCs w:val="28"/>
        </w:rPr>
        <w:t>负责对项目工程</w:t>
      </w:r>
      <w:r>
        <w:rPr>
          <w:rFonts w:ascii="仿宋_GB2312" w:eastAsia="仿宋_GB2312" w:hAnsi="仿宋_GB2312" w:cs="仿宋_GB2312" w:hint="eastAsia"/>
          <w:spacing w:val="15"/>
          <w:sz w:val="28"/>
          <w:szCs w:val="28"/>
        </w:rPr>
        <w:t>各标段</w:t>
      </w:r>
      <w:r>
        <w:rPr>
          <w:rFonts w:ascii="仿宋_GB2312" w:eastAsia="仿宋_GB2312" w:hAnsi="仿宋_GB2312" w:cs="仿宋_GB2312" w:hint="eastAsia"/>
          <w:spacing w:val="15"/>
          <w:sz w:val="28"/>
          <w:szCs w:val="28"/>
        </w:rPr>
        <w:t>的实施进度和工</w:t>
      </w:r>
      <w:r>
        <w:rPr>
          <w:rFonts w:ascii="仿宋_GB2312" w:eastAsia="仿宋_GB2312" w:hAnsi="仿宋_GB2312" w:cs="仿宋_GB2312" w:hint="eastAsia"/>
          <w:spacing w:val="15"/>
          <w:sz w:val="28"/>
          <w:szCs w:val="28"/>
        </w:rPr>
        <w:t>程质量进行监督。</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2.</w:t>
      </w:r>
      <w:r>
        <w:rPr>
          <w:rFonts w:ascii="仿宋_GB2312" w:eastAsia="仿宋_GB2312" w:hAnsi="仿宋_GB2312" w:cs="仿宋_GB2312" w:hint="eastAsia"/>
          <w:spacing w:val="15"/>
          <w:sz w:val="28"/>
          <w:szCs w:val="28"/>
        </w:rPr>
        <w:t>项目实施管理</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spacing w:val="15"/>
          <w:sz w:val="28"/>
          <w:szCs w:val="28"/>
        </w:rPr>
        <w:t>按照</w:t>
      </w:r>
      <w:r>
        <w:rPr>
          <w:rFonts w:ascii="仿宋_GB2312" w:eastAsia="仿宋_GB2312" w:hAnsi="仿宋_GB2312" w:cs="仿宋_GB2312" w:hint="eastAsia"/>
          <w:spacing w:val="15"/>
          <w:sz w:val="28"/>
          <w:szCs w:val="28"/>
        </w:rPr>
        <w:t>三大板块旅游公路建设工程</w:t>
      </w:r>
      <w:r>
        <w:rPr>
          <w:rFonts w:ascii="仿宋_GB2312" w:eastAsia="仿宋_GB2312" w:hAnsi="仿宋_GB2312" w:cs="仿宋_GB2312"/>
          <w:spacing w:val="15"/>
          <w:sz w:val="28"/>
          <w:szCs w:val="28"/>
        </w:rPr>
        <w:t>实施管理流程，可分为以下三个阶段：</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1</w:t>
      </w:r>
      <w:r>
        <w:rPr>
          <w:rFonts w:ascii="仿宋_GB2312" w:eastAsia="仿宋_GB2312" w:hAnsi="仿宋_GB2312" w:cs="仿宋_GB2312" w:hint="eastAsia"/>
          <w:spacing w:val="15"/>
          <w:sz w:val="28"/>
          <w:szCs w:val="28"/>
        </w:rPr>
        <w:t>）</w:t>
      </w:r>
      <w:r>
        <w:rPr>
          <w:rFonts w:ascii="仿宋_GB2312" w:eastAsia="仿宋_GB2312" w:hAnsi="仿宋_GB2312" w:cs="仿宋_GB2312"/>
          <w:spacing w:val="15"/>
          <w:sz w:val="28"/>
          <w:szCs w:val="28"/>
        </w:rPr>
        <w:t>项目准备阶段，根据上级会议精神指示，邀请第三方进行施工图设计，并进行审核评定。</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2</w:t>
      </w:r>
      <w:r>
        <w:rPr>
          <w:rFonts w:ascii="仿宋_GB2312" w:eastAsia="仿宋_GB2312" w:hAnsi="仿宋_GB2312" w:cs="仿宋_GB2312" w:hint="eastAsia"/>
          <w:spacing w:val="15"/>
          <w:sz w:val="28"/>
          <w:szCs w:val="28"/>
        </w:rPr>
        <w:t>）</w:t>
      </w:r>
      <w:r>
        <w:rPr>
          <w:rFonts w:ascii="仿宋_GB2312" w:eastAsia="仿宋_GB2312" w:hAnsi="仿宋_GB2312" w:cs="仿宋_GB2312"/>
          <w:spacing w:val="15"/>
          <w:sz w:val="28"/>
          <w:szCs w:val="28"/>
        </w:rPr>
        <w:t>项目实施阶段，该阶段项目实施管理和资金管理同步进行，资金的管理严格按照财政资金预算管理办法执行，实行</w:t>
      </w:r>
      <w:r>
        <w:rPr>
          <w:rFonts w:ascii="仿宋_GB2312" w:eastAsia="仿宋_GB2312" w:hAnsi="仿宋_GB2312" w:cs="仿宋_GB2312"/>
          <w:spacing w:val="15"/>
          <w:sz w:val="28"/>
          <w:szCs w:val="28"/>
        </w:rPr>
        <w:t>“</w:t>
      </w:r>
      <w:r>
        <w:rPr>
          <w:rFonts w:ascii="仿宋_GB2312" w:eastAsia="仿宋_GB2312" w:hAnsi="仿宋_GB2312" w:cs="仿宋_GB2312"/>
          <w:spacing w:val="15"/>
          <w:sz w:val="28"/>
          <w:szCs w:val="28"/>
        </w:rPr>
        <w:t>专人管理、专账核算、专款专用</w:t>
      </w:r>
      <w:r>
        <w:rPr>
          <w:rFonts w:ascii="仿宋_GB2312" w:eastAsia="仿宋_GB2312" w:hAnsi="仿宋_GB2312" w:cs="仿宋_GB2312"/>
          <w:spacing w:val="15"/>
          <w:sz w:val="28"/>
          <w:szCs w:val="28"/>
        </w:rPr>
        <w:t>”</w:t>
      </w:r>
      <w:r>
        <w:rPr>
          <w:rFonts w:ascii="仿宋_GB2312" w:eastAsia="仿宋_GB2312" w:hAnsi="仿宋_GB2312" w:cs="仿宋_GB2312"/>
          <w:spacing w:val="15"/>
          <w:sz w:val="28"/>
          <w:szCs w:val="28"/>
        </w:rPr>
        <w:t>。项目实施管理依据《中华人民共和国招标法》及国家计委第</w:t>
      </w:r>
      <w:r>
        <w:rPr>
          <w:rFonts w:ascii="仿宋_GB2312" w:eastAsia="仿宋_GB2312" w:hAnsi="仿宋_GB2312" w:cs="仿宋_GB2312"/>
          <w:spacing w:val="15"/>
          <w:sz w:val="28"/>
          <w:szCs w:val="28"/>
        </w:rPr>
        <w:t>9</w:t>
      </w:r>
      <w:r>
        <w:rPr>
          <w:rFonts w:ascii="仿宋_GB2312" w:eastAsia="仿宋_GB2312" w:hAnsi="仿宋_GB2312" w:cs="仿宋_GB2312"/>
          <w:spacing w:val="15"/>
          <w:sz w:val="28"/>
          <w:szCs w:val="28"/>
        </w:rPr>
        <w:t>号《建设项目可行性研究报告增加招标内容及核准招标事项暂行规定》的要求，依法进行工程建设的招标工作。</w:t>
      </w:r>
    </w:p>
    <w:p w:rsidR="00F55CEE" w:rsidRDefault="001145CC">
      <w:pPr>
        <w:pStyle w:val="a0"/>
        <w:spacing w:after="0" w:line="360" w:lineRule="auto"/>
        <w:ind w:firstLineChars="200" w:firstLine="620"/>
        <w:rPr>
          <w:rFonts w:ascii="仿宋_GB2312" w:eastAsia="仿宋_GB2312" w:hAnsi="仿宋_GB2312" w:cs="仿宋_GB2312"/>
          <w:spacing w:val="15"/>
          <w:sz w:val="28"/>
          <w:szCs w:val="28"/>
        </w:rPr>
      </w:pP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3</w:t>
      </w:r>
      <w:r>
        <w:rPr>
          <w:rFonts w:ascii="仿宋_GB2312" w:eastAsia="仿宋_GB2312" w:hAnsi="仿宋_GB2312" w:cs="仿宋_GB2312" w:hint="eastAsia"/>
          <w:spacing w:val="15"/>
          <w:sz w:val="28"/>
          <w:szCs w:val="28"/>
        </w:rPr>
        <w:t>）</w:t>
      </w:r>
      <w:r>
        <w:rPr>
          <w:rFonts w:ascii="仿宋_GB2312" w:eastAsia="仿宋_GB2312" w:hAnsi="仿宋_GB2312" w:cs="仿宋_GB2312"/>
          <w:spacing w:val="15"/>
          <w:sz w:val="28"/>
          <w:szCs w:val="28"/>
        </w:rPr>
        <w:t>验收管护阶段，主要包括项目</w:t>
      </w:r>
      <w:r>
        <w:rPr>
          <w:rFonts w:ascii="仿宋_GB2312" w:eastAsia="仿宋_GB2312" w:hAnsi="仿宋_GB2312" w:cs="仿宋_GB2312"/>
          <w:spacing w:val="15"/>
          <w:sz w:val="28"/>
          <w:szCs w:val="28"/>
        </w:rPr>
        <w:t>验收及工程管护两个阶段。对该项目执行国家相关政策规定的情况，该工程建设任务及主要经济技术指标的完成情况，以及工程建设完工质量等进行验收。建立后期工程管护制度，明确相关部门责任，对管护资金的预算、筹集及合理分配等制定相关方案和措施。</w:t>
      </w:r>
      <w:r>
        <w:rPr>
          <w:rFonts w:ascii="仿宋_GB2312" w:eastAsia="仿宋_GB2312" w:hAnsi="仿宋_GB2312" w:cs="仿宋_GB2312"/>
          <w:spacing w:val="15"/>
          <w:sz w:val="28"/>
          <w:szCs w:val="28"/>
        </w:rPr>
        <w:t xml:space="preserve"> </w:t>
      </w:r>
    </w:p>
    <w:p w:rsidR="00F55CEE" w:rsidRDefault="001145CC">
      <w:pPr>
        <w:pStyle w:val="2"/>
        <w:spacing w:before="0" w:line="360" w:lineRule="auto"/>
        <w:ind w:firstLineChars="200" w:firstLine="560"/>
        <w:rPr>
          <w:rFonts w:ascii="楷体_GB2312" w:eastAsia="楷体_GB2312" w:hAnsi="楷体_GB2312" w:cs="楷体_GB2312"/>
          <w:b w:val="0"/>
          <w:bCs w:val="0"/>
          <w:sz w:val="28"/>
          <w:szCs w:val="28"/>
        </w:rPr>
      </w:pPr>
      <w:bookmarkStart w:id="135" w:name="_Toc2464"/>
      <w:bookmarkStart w:id="136" w:name="_Toc9697"/>
      <w:bookmarkStart w:id="137" w:name="_Toc29766"/>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六</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项目绩效目标</w:t>
      </w:r>
      <w:bookmarkEnd w:id="135"/>
      <w:bookmarkEnd w:id="136"/>
      <w:bookmarkEnd w:id="137"/>
    </w:p>
    <w:p w:rsidR="00F55CEE" w:rsidRDefault="001145CC">
      <w:pPr>
        <w:ind w:firstLineChars="200" w:firstLine="620"/>
        <w:rPr>
          <w:rFonts w:ascii="仿宋_GB2312" w:eastAsia="仿宋_GB2312" w:hAnsi="仿宋_GB2312" w:cs="仿宋_GB2312"/>
          <w:spacing w:val="15"/>
          <w:sz w:val="28"/>
          <w:szCs w:val="28"/>
        </w:rPr>
      </w:pPr>
      <w:bookmarkStart w:id="138" w:name="_Toc7484"/>
      <w:bookmarkStart w:id="139" w:name="_Toc23205"/>
      <w:bookmarkStart w:id="140" w:name="_Toc28872"/>
      <w:bookmarkStart w:id="141" w:name="_Toc770"/>
      <w:bookmarkStart w:id="142" w:name="_Toc24706"/>
      <w:bookmarkStart w:id="143" w:name="_Toc30015"/>
      <w:bookmarkStart w:id="144" w:name="_Toc27765"/>
      <w:bookmarkStart w:id="145" w:name="_Toc14511"/>
      <w:bookmarkStart w:id="146" w:name="_Toc25699"/>
      <w:bookmarkStart w:id="147" w:name="_Toc26250"/>
      <w:bookmarkStart w:id="148" w:name="_Toc2565"/>
      <w:bookmarkStart w:id="149" w:name="_Toc3142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ascii="仿宋_GB2312" w:eastAsia="仿宋_GB2312" w:hAnsi="仿宋_GB2312" w:cs="仿宋_GB2312" w:hint="eastAsia"/>
          <w:spacing w:val="15"/>
          <w:sz w:val="28"/>
          <w:szCs w:val="28"/>
        </w:rPr>
        <w:t>太行板块旅游公路实施四条专线，长度合计</w:t>
      </w:r>
      <w:r>
        <w:rPr>
          <w:rFonts w:ascii="仿宋_GB2312" w:eastAsia="仿宋_GB2312" w:hAnsi="仿宋_GB2312" w:cs="仿宋_GB2312" w:hint="eastAsia"/>
          <w:spacing w:val="15"/>
          <w:sz w:val="28"/>
          <w:szCs w:val="28"/>
        </w:rPr>
        <w:t>57.791</w:t>
      </w:r>
      <w:r>
        <w:rPr>
          <w:rFonts w:ascii="仿宋_GB2312" w:eastAsia="仿宋_GB2312" w:hAnsi="仿宋_GB2312" w:cs="仿宋_GB2312" w:hint="eastAsia"/>
          <w:spacing w:val="15"/>
          <w:sz w:val="28"/>
          <w:szCs w:val="28"/>
        </w:rPr>
        <w:t>公里，估算总投资为</w:t>
      </w:r>
      <w:r>
        <w:rPr>
          <w:rFonts w:ascii="仿宋_GB2312" w:eastAsia="仿宋_GB2312" w:hAnsi="仿宋_GB2312" w:cs="仿宋_GB2312" w:hint="eastAsia"/>
          <w:spacing w:val="15"/>
          <w:sz w:val="28"/>
          <w:szCs w:val="28"/>
        </w:rPr>
        <w:t>22711.9836</w:t>
      </w:r>
      <w:r>
        <w:rPr>
          <w:rFonts w:ascii="仿宋_GB2312" w:eastAsia="仿宋_GB2312" w:hAnsi="仿宋_GB2312" w:cs="仿宋_GB2312" w:hint="eastAsia"/>
          <w:spacing w:val="15"/>
          <w:sz w:val="28"/>
          <w:szCs w:val="28"/>
        </w:rPr>
        <w:t>万元，其中：太行板块旅游公路长</w:t>
      </w:r>
      <w:r>
        <w:rPr>
          <w:rFonts w:ascii="仿宋_GB2312" w:eastAsia="仿宋_GB2312" w:hAnsi="仿宋_GB2312" w:cs="仿宋_GB2312" w:hint="eastAsia"/>
          <w:spacing w:val="15"/>
          <w:sz w:val="28"/>
          <w:szCs w:val="28"/>
        </w:rPr>
        <w:lastRenderedPageBreak/>
        <w:t>治市黎城县白岩寺旅游公路工程（即：杨家庄</w:t>
      </w:r>
      <w:r>
        <w:rPr>
          <w:rFonts w:ascii="仿宋_GB2312" w:eastAsia="仿宋_GB2312" w:hAnsi="仿宋_GB2312" w:cs="仿宋_GB2312" w:hint="eastAsia"/>
          <w:spacing w:val="15"/>
          <w:sz w:val="28"/>
          <w:szCs w:val="28"/>
        </w:rPr>
        <w:t>-</w:t>
      </w:r>
      <w:r>
        <w:rPr>
          <w:rFonts w:ascii="仿宋_GB2312" w:eastAsia="仿宋_GB2312" w:hAnsi="仿宋_GB2312" w:cs="仿宋_GB2312" w:hint="eastAsia"/>
          <w:spacing w:val="15"/>
          <w:sz w:val="28"/>
          <w:szCs w:val="28"/>
        </w:rPr>
        <w:t>龙洞段），总投资</w:t>
      </w:r>
      <w:r>
        <w:rPr>
          <w:rFonts w:ascii="仿宋_GB2312" w:eastAsia="仿宋_GB2312" w:hAnsi="仿宋_GB2312" w:cs="仿宋_GB2312" w:hint="eastAsia"/>
          <w:spacing w:val="15"/>
          <w:sz w:val="28"/>
          <w:szCs w:val="28"/>
        </w:rPr>
        <w:t>2918.2687</w:t>
      </w:r>
      <w:r>
        <w:rPr>
          <w:rFonts w:ascii="仿宋_GB2312" w:eastAsia="仿宋_GB2312" w:hAnsi="仿宋_GB2312" w:cs="仿宋_GB2312" w:hint="eastAsia"/>
          <w:spacing w:val="15"/>
          <w:sz w:val="28"/>
          <w:szCs w:val="28"/>
        </w:rPr>
        <w:t>万元；太行板块旅游公路长治市黎城县北泉寨至后家滩段工程，总投资</w:t>
      </w:r>
      <w:r>
        <w:rPr>
          <w:rFonts w:ascii="仿宋_GB2312" w:eastAsia="仿宋_GB2312" w:hAnsi="仿宋_GB2312" w:cs="仿宋_GB2312" w:hint="eastAsia"/>
          <w:spacing w:val="15"/>
          <w:sz w:val="28"/>
          <w:szCs w:val="28"/>
        </w:rPr>
        <w:t>8228.488</w:t>
      </w:r>
      <w:r>
        <w:rPr>
          <w:rFonts w:ascii="仿宋_GB2312" w:eastAsia="仿宋_GB2312" w:hAnsi="仿宋_GB2312" w:cs="仿宋_GB2312" w:hint="eastAsia"/>
          <w:spacing w:val="15"/>
          <w:sz w:val="28"/>
          <w:szCs w:val="28"/>
        </w:rPr>
        <w:t>万元；</w:t>
      </w:r>
      <w:r>
        <w:rPr>
          <w:rFonts w:ascii="仿宋_GB2312" w:eastAsia="仿宋_GB2312" w:hAnsi="仿宋_GB2312" w:cs="仿宋_GB2312" w:hint="eastAsia"/>
          <w:sz w:val="28"/>
          <w:szCs w:val="28"/>
        </w:rPr>
        <w:t>黎城县龙洞景区旅游公路（</w:t>
      </w:r>
      <w:r>
        <w:rPr>
          <w:rFonts w:ascii="仿宋_GB2312" w:eastAsia="仿宋_GB2312" w:hAnsi="仿宋_GB2312" w:cs="仿宋_GB2312" w:hint="eastAsia"/>
          <w:sz w:val="28"/>
          <w:szCs w:val="28"/>
        </w:rPr>
        <w:t>杨家庄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龙洞）</w:t>
      </w:r>
      <w:r>
        <w:rPr>
          <w:rFonts w:ascii="仿宋_GB2312" w:eastAsia="仿宋_GB2312" w:hAnsi="仿宋_GB2312" w:cs="仿宋_GB2312" w:hint="eastAsia"/>
          <w:sz w:val="28"/>
          <w:szCs w:val="28"/>
        </w:rPr>
        <w:t>一期工程</w:t>
      </w:r>
      <w:r>
        <w:rPr>
          <w:rFonts w:ascii="仿宋_GB2312" w:eastAsia="仿宋_GB2312" w:hAnsi="仿宋_GB2312" w:cs="仿宋_GB2312" w:hint="eastAsia"/>
          <w:sz w:val="28"/>
          <w:szCs w:val="28"/>
        </w:rPr>
        <w:t>项目</w:t>
      </w:r>
      <w:r>
        <w:rPr>
          <w:rFonts w:ascii="仿宋_GB2312" w:eastAsia="仿宋_GB2312" w:hAnsi="仿宋_GB2312" w:cs="仿宋_GB2312" w:hint="eastAsia"/>
          <w:spacing w:val="15"/>
          <w:sz w:val="28"/>
          <w:szCs w:val="28"/>
        </w:rPr>
        <w:t>，总投资</w:t>
      </w:r>
      <w:r>
        <w:rPr>
          <w:rFonts w:ascii="仿宋_GB2312" w:eastAsia="仿宋_GB2312" w:hAnsi="仿宋_GB2312" w:cs="仿宋_GB2312" w:hint="eastAsia"/>
          <w:spacing w:val="15"/>
          <w:sz w:val="28"/>
          <w:szCs w:val="28"/>
        </w:rPr>
        <w:t>4138.4451</w:t>
      </w:r>
      <w:r>
        <w:rPr>
          <w:rFonts w:ascii="仿宋_GB2312" w:eastAsia="仿宋_GB2312" w:hAnsi="仿宋_GB2312" w:cs="仿宋_GB2312" w:hint="eastAsia"/>
          <w:spacing w:val="15"/>
          <w:sz w:val="28"/>
          <w:szCs w:val="28"/>
        </w:rPr>
        <w:t>万元；太行一号旅游公路长治县道西东线（西井至板山段）工程，总投资</w:t>
      </w:r>
      <w:r>
        <w:rPr>
          <w:rFonts w:ascii="仿宋_GB2312" w:eastAsia="仿宋_GB2312" w:hAnsi="仿宋_GB2312" w:cs="仿宋_GB2312" w:hint="eastAsia"/>
          <w:spacing w:val="15"/>
          <w:sz w:val="28"/>
          <w:szCs w:val="28"/>
        </w:rPr>
        <w:t>7426.7818</w:t>
      </w:r>
      <w:r>
        <w:rPr>
          <w:rFonts w:ascii="仿宋_GB2312" w:eastAsia="仿宋_GB2312" w:hAnsi="仿宋_GB2312" w:cs="仿宋_GB2312" w:hint="eastAsia"/>
          <w:spacing w:val="15"/>
          <w:sz w:val="28"/>
          <w:szCs w:val="28"/>
        </w:rPr>
        <w:t>万元，项目计划在</w:t>
      </w:r>
      <w:r>
        <w:rPr>
          <w:rFonts w:ascii="仿宋_GB2312" w:eastAsia="仿宋_GB2312" w:hAnsi="仿宋_GB2312" w:cs="仿宋_GB2312" w:hint="eastAsia"/>
          <w:spacing w:val="15"/>
          <w:sz w:val="28"/>
          <w:szCs w:val="28"/>
        </w:rPr>
        <w:t>2020</w:t>
      </w:r>
      <w:r>
        <w:rPr>
          <w:rFonts w:ascii="仿宋_GB2312" w:eastAsia="仿宋_GB2312" w:hAnsi="仿宋_GB2312" w:cs="仿宋_GB2312" w:hint="eastAsia"/>
          <w:spacing w:val="15"/>
          <w:sz w:val="28"/>
          <w:szCs w:val="28"/>
        </w:rPr>
        <w:t>年完成建设。该项目实施后，可直接推动黎城县旅游产业及</w:t>
      </w:r>
      <w:r>
        <w:rPr>
          <w:rFonts w:ascii="仿宋_GB2312" w:eastAsia="仿宋_GB2312" w:hAnsi="仿宋_GB2312" w:cs="仿宋_GB2312" w:hint="eastAsia"/>
          <w:spacing w:val="15"/>
          <w:sz w:val="28"/>
          <w:szCs w:val="28"/>
        </w:rPr>
        <w:t>相关产业的发展，加强当地群众与周边县区的经济文化交流，解决周边农村群众就业问题，科学配置和发展黎城旅游资源，提升黎城区域综合竞争力，实现城乡发展均衡。</w:t>
      </w:r>
      <w:bookmarkEnd w:id="138"/>
    </w:p>
    <w:p w:rsidR="00F55CEE" w:rsidRDefault="001145CC">
      <w:pPr>
        <w:pStyle w:val="1"/>
        <w:ind w:firstLineChars="200" w:firstLine="560"/>
        <w:rPr>
          <w:rFonts w:ascii="黑体" w:eastAsia="黑体" w:hAnsi="黑体" w:cs="黑体"/>
          <w:b w:val="0"/>
          <w:bCs/>
          <w:sz w:val="28"/>
          <w:szCs w:val="28"/>
        </w:rPr>
      </w:pPr>
      <w:bookmarkStart w:id="150" w:name="_Toc24610"/>
      <w:r>
        <w:rPr>
          <w:rFonts w:ascii="黑体" w:eastAsia="黑体" w:hAnsi="黑体" w:cs="黑体" w:hint="eastAsia"/>
          <w:b w:val="0"/>
          <w:bCs/>
          <w:sz w:val="28"/>
          <w:szCs w:val="28"/>
        </w:rPr>
        <w:t>二、</w:t>
      </w:r>
      <w:bookmarkStart w:id="151" w:name="_Toc8220"/>
      <w:bookmarkStart w:id="152" w:name="_Toc8339"/>
      <w:bookmarkStart w:id="153" w:name="_Toc18538"/>
      <w:bookmarkStart w:id="154" w:name="_Toc3032"/>
      <w:bookmarkStart w:id="155" w:name="_Toc7387"/>
      <w:bookmarkStart w:id="156" w:name="_Toc10730"/>
      <w:bookmarkStart w:id="157" w:name="_Toc24075"/>
      <w:bookmarkStart w:id="158" w:name="_Toc30576"/>
      <w:bookmarkStart w:id="159" w:name="_Toc18429"/>
      <w:bookmarkStart w:id="160" w:name="_Toc10365"/>
      <w:r>
        <w:rPr>
          <w:rFonts w:ascii="黑体" w:eastAsia="黑体" w:hAnsi="黑体" w:cs="黑体" w:hint="eastAsia"/>
          <w:b w:val="0"/>
          <w:bCs/>
          <w:sz w:val="28"/>
          <w:szCs w:val="28"/>
        </w:rPr>
        <w:t>评价结论</w:t>
      </w:r>
      <w:bookmarkEnd w:id="139"/>
      <w:bookmarkEnd w:id="150"/>
    </w:p>
    <w:bookmarkEnd w:id="151"/>
    <w:bookmarkEnd w:id="152"/>
    <w:bookmarkEnd w:id="153"/>
    <w:bookmarkEnd w:id="154"/>
    <w:bookmarkEnd w:id="155"/>
    <w:bookmarkEnd w:id="156"/>
    <w:bookmarkEnd w:id="157"/>
    <w:bookmarkEnd w:id="158"/>
    <w:bookmarkEnd w:id="159"/>
    <w:bookmarkEnd w:id="160"/>
    <w:p w:rsidR="00F55CEE" w:rsidRDefault="001145CC">
      <w:pPr>
        <w:pStyle w:val="a0"/>
        <w:spacing w:line="360" w:lineRule="auto"/>
        <w:ind w:firstLineChars="200" w:firstLine="620"/>
        <w:jc w:val="left"/>
        <w:rPr>
          <w:rFonts w:ascii="仿宋_GB2312" w:eastAsia="仿宋_GB2312" w:hAnsi="仿宋_GB2312" w:cs="仿宋_GB2312"/>
          <w:sz w:val="28"/>
          <w:szCs w:val="28"/>
        </w:rPr>
      </w:pPr>
      <w:r>
        <w:rPr>
          <w:rFonts w:ascii="仿宋_GB2312" w:eastAsia="仿宋_GB2312" w:hAnsi="仿宋_GB2312" w:cs="仿宋_GB2312" w:hint="eastAsia"/>
          <w:spacing w:val="15"/>
          <w:sz w:val="28"/>
          <w:szCs w:val="28"/>
        </w:rPr>
        <w:t>2020</w:t>
      </w:r>
      <w:r>
        <w:rPr>
          <w:rFonts w:ascii="仿宋_GB2312" w:eastAsia="仿宋_GB2312" w:hAnsi="仿宋_GB2312" w:cs="仿宋_GB2312" w:hint="eastAsia"/>
          <w:spacing w:val="15"/>
          <w:sz w:val="28"/>
          <w:szCs w:val="28"/>
        </w:rPr>
        <w:t>年三大板块旅游公路建设资金项目</w:t>
      </w:r>
      <w:r>
        <w:rPr>
          <w:rFonts w:ascii="仿宋_GB2312" w:eastAsia="仿宋_GB2312" w:hAnsi="仿宋_GB2312" w:cs="仿宋_GB2312" w:hint="eastAsia"/>
          <w:sz w:val="28"/>
          <w:szCs w:val="28"/>
        </w:rPr>
        <w:t>得</w:t>
      </w:r>
      <w:r>
        <w:rPr>
          <w:rFonts w:ascii="仿宋_GB2312" w:eastAsia="仿宋_GB2312" w:hAnsi="仿宋_GB2312" w:cs="仿宋_GB2312" w:hint="eastAsia"/>
          <w:sz w:val="28"/>
          <w:szCs w:val="28"/>
        </w:rPr>
        <w:t>80</w:t>
      </w:r>
      <w:r>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依据评分标准，该项目评价等级为“良”，具体得分情况详</w:t>
      </w:r>
      <w:r>
        <w:rPr>
          <w:rFonts w:ascii="仿宋_GB2312" w:eastAsia="仿宋_GB2312" w:hAnsi="仿宋_GB2312" w:cs="仿宋_GB2312" w:hint="eastAsia"/>
          <w:sz w:val="28"/>
          <w:szCs w:val="28"/>
        </w:rPr>
        <w:t>见表</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p>
    <w:p w:rsidR="00F55CEE" w:rsidRDefault="001145CC">
      <w:pPr>
        <w:pStyle w:val="a0"/>
        <w:spacing w:after="0" w:line="360" w:lineRule="auto"/>
        <w:jc w:val="center"/>
        <w:rPr>
          <w:rFonts w:ascii="仿宋_GB2312" w:eastAsia="仿宋_GB2312" w:hAnsi="仿宋_GB2312" w:cs="仿宋_GB2312"/>
          <w:b/>
          <w:bCs/>
          <w:sz w:val="24"/>
        </w:rPr>
      </w:pPr>
      <w:r>
        <w:rPr>
          <w:rFonts w:ascii="仿宋_GB2312" w:eastAsia="仿宋_GB2312" w:hAnsi="仿宋_GB2312" w:cs="仿宋_GB2312" w:hint="eastAsia"/>
          <w:b/>
          <w:bCs/>
          <w:sz w:val="24"/>
        </w:rPr>
        <w:t>表</w:t>
      </w:r>
      <w:r>
        <w:rPr>
          <w:rFonts w:ascii="仿宋_GB2312" w:eastAsia="仿宋_GB2312" w:hAnsi="仿宋_GB2312" w:cs="仿宋_GB2312" w:hint="eastAsia"/>
          <w:b/>
          <w:bCs/>
          <w:sz w:val="24"/>
        </w:rPr>
        <w:t>2-1</w:t>
      </w:r>
      <w:r>
        <w:rPr>
          <w:rFonts w:ascii="仿宋_GB2312" w:eastAsia="仿宋_GB2312" w:hAnsi="仿宋_GB2312" w:cs="仿宋_GB2312" w:hint="eastAsia"/>
          <w:b/>
          <w:bCs/>
          <w:sz w:val="24"/>
        </w:rPr>
        <w:t>：绩效评价得分情况表</w:t>
      </w:r>
    </w:p>
    <w:tbl>
      <w:tblPr>
        <w:tblW w:w="8336" w:type="dxa"/>
        <w:jc w:val="center"/>
        <w:tblLayout w:type="fixed"/>
        <w:tblCellMar>
          <w:top w:w="15" w:type="dxa"/>
          <w:left w:w="15" w:type="dxa"/>
          <w:bottom w:w="15" w:type="dxa"/>
          <w:right w:w="15" w:type="dxa"/>
        </w:tblCellMar>
        <w:tblLook w:val="04A0"/>
      </w:tblPr>
      <w:tblGrid>
        <w:gridCol w:w="1450"/>
        <w:gridCol w:w="1399"/>
        <w:gridCol w:w="1334"/>
        <w:gridCol w:w="1386"/>
        <w:gridCol w:w="1383"/>
        <w:gridCol w:w="1384"/>
      </w:tblGrid>
      <w:tr w:rsidR="00F55CEE">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指标</w:t>
            </w:r>
          </w:p>
        </w:tc>
        <w:tc>
          <w:tcPr>
            <w:tcW w:w="13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决策</w:t>
            </w:r>
          </w:p>
        </w:tc>
        <w:tc>
          <w:tcPr>
            <w:tcW w:w="13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过程</w:t>
            </w:r>
          </w:p>
        </w:tc>
        <w:tc>
          <w:tcPr>
            <w:tcW w:w="13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产出</w:t>
            </w:r>
          </w:p>
        </w:tc>
        <w:tc>
          <w:tcPr>
            <w:tcW w:w="13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效益</w:t>
            </w:r>
          </w:p>
        </w:tc>
        <w:tc>
          <w:tcPr>
            <w:tcW w:w="13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合计</w:t>
            </w:r>
          </w:p>
        </w:tc>
      </w:tr>
      <w:tr w:rsidR="00F55CEE">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权重</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100.00</w:t>
            </w:r>
          </w:p>
        </w:tc>
      </w:tr>
      <w:tr w:rsidR="00F55CEE">
        <w:trPr>
          <w:trHeight w:val="454"/>
          <w:jc w:val="center"/>
        </w:trPr>
        <w:tc>
          <w:tcPr>
            <w:tcW w:w="1450"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得分</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20.00</w:t>
            </w:r>
          </w:p>
        </w:tc>
        <w:tc>
          <w:tcPr>
            <w:tcW w:w="1334"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21.00</w:t>
            </w:r>
          </w:p>
        </w:tc>
        <w:tc>
          <w:tcPr>
            <w:tcW w:w="1386"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16.00</w:t>
            </w:r>
          </w:p>
        </w:tc>
        <w:tc>
          <w:tcPr>
            <w:tcW w:w="1383"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23.00</w:t>
            </w:r>
          </w:p>
        </w:tc>
        <w:tc>
          <w:tcPr>
            <w:tcW w:w="1384" w:type="dxa"/>
            <w:tcBorders>
              <w:top w:val="single" w:sz="4" w:space="0" w:color="000000"/>
              <w:left w:val="single" w:sz="4" w:space="0" w:color="000000"/>
              <w:bottom w:val="single" w:sz="4" w:space="0" w:color="auto"/>
              <w:right w:val="single" w:sz="4" w:space="0" w:color="000000"/>
            </w:tcBorders>
            <w:shd w:val="clear" w:color="auto" w:fill="auto"/>
            <w:vAlign w:val="center"/>
          </w:tcPr>
          <w:p w:rsidR="00F55CEE" w:rsidRDefault="001145CC">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80.00</w:t>
            </w:r>
          </w:p>
        </w:tc>
      </w:tr>
      <w:tr w:rsidR="00F55CEE">
        <w:trPr>
          <w:trHeight w:val="454"/>
          <w:jc w:val="center"/>
        </w:trPr>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得分率</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80.00</w:t>
            </w:r>
            <w:r>
              <w:rPr>
                <w:rFonts w:ascii="楷体_GB2312" w:eastAsia="楷体_GB2312" w:hAnsi="宋体" w:cs="宋体" w:hint="eastAsia"/>
                <w:b/>
                <w:kern w:val="0"/>
                <w:sz w:val="20"/>
                <w:szCs w:val="20"/>
                <w:lang w:eastAsia="zh-TW"/>
              </w:rPr>
              <w:t>%</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84.00</w:t>
            </w:r>
            <w:r>
              <w:rPr>
                <w:rFonts w:ascii="楷体_GB2312" w:eastAsia="楷体_GB2312" w:hAnsi="宋体" w:cs="宋体" w:hint="eastAsia"/>
                <w:b/>
                <w:kern w:val="0"/>
                <w:sz w:val="20"/>
                <w:szCs w:val="20"/>
                <w:lang w:eastAsia="zh-TW"/>
              </w:rPr>
              <w:t>%</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64.00%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92.00%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55CEE" w:rsidRDefault="001145CC">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80.00%</w:t>
            </w:r>
          </w:p>
        </w:tc>
      </w:tr>
    </w:tbl>
    <w:p w:rsidR="00F55CEE" w:rsidRDefault="00F55CEE">
      <w:pPr>
        <w:pStyle w:val="1"/>
        <w:rPr>
          <w:rFonts w:ascii="黑体" w:eastAsia="黑体" w:hAnsi="黑体" w:cs="黑体"/>
          <w:b w:val="0"/>
          <w:bCs/>
          <w:sz w:val="28"/>
          <w:szCs w:val="28"/>
        </w:rPr>
      </w:pPr>
    </w:p>
    <w:p w:rsidR="00F55CEE" w:rsidRDefault="001145CC">
      <w:pPr>
        <w:pStyle w:val="1"/>
        <w:ind w:firstLineChars="200" w:firstLine="560"/>
        <w:rPr>
          <w:rFonts w:ascii="仿宋_GB2312" w:eastAsia="黑体" w:hAnsi="仿宋_GB2312" w:cs="仿宋_GB2312"/>
          <w:bCs/>
          <w:szCs w:val="30"/>
        </w:rPr>
      </w:pPr>
      <w:bookmarkStart w:id="161" w:name="_Toc17249"/>
      <w:r>
        <w:rPr>
          <w:rFonts w:ascii="黑体" w:eastAsia="黑体" w:hAnsi="黑体" w:cs="黑体" w:hint="eastAsia"/>
          <w:b w:val="0"/>
          <w:bCs/>
          <w:sz w:val="28"/>
          <w:szCs w:val="28"/>
        </w:rPr>
        <w:t>三、</w:t>
      </w:r>
      <w:bookmarkStart w:id="162" w:name="_Toc13315"/>
      <w:bookmarkStart w:id="163" w:name="_Toc31684"/>
      <w:bookmarkStart w:id="164" w:name="_Toc18711"/>
      <w:bookmarkStart w:id="165" w:name="_Toc1878"/>
      <w:bookmarkStart w:id="166" w:name="_Toc21043"/>
      <w:bookmarkEnd w:id="140"/>
      <w:bookmarkEnd w:id="141"/>
      <w:bookmarkEnd w:id="142"/>
      <w:bookmarkEnd w:id="143"/>
      <w:bookmarkEnd w:id="144"/>
      <w:bookmarkEnd w:id="145"/>
      <w:bookmarkEnd w:id="146"/>
      <w:bookmarkEnd w:id="147"/>
      <w:bookmarkEnd w:id="148"/>
      <w:bookmarkEnd w:id="149"/>
      <w:r>
        <w:rPr>
          <w:rFonts w:ascii="黑体" w:eastAsia="黑体" w:hAnsi="黑体" w:cs="黑体" w:hint="eastAsia"/>
          <w:b w:val="0"/>
          <w:bCs/>
          <w:sz w:val="28"/>
          <w:szCs w:val="28"/>
        </w:rPr>
        <w:t>绩效指标分析</w:t>
      </w:r>
      <w:bookmarkEnd w:id="161"/>
    </w:p>
    <w:p w:rsidR="00F55CEE" w:rsidRDefault="001145CC">
      <w:pPr>
        <w:pStyle w:val="2"/>
        <w:spacing w:before="0" w:line="360" w:lineRule="auto"/>
        <w:ind w:firstLineChars="200" w:firstLine="560"/>
        <w:rPr>
          <w:rFonts w:ascii="楷体_GB2312" w:eastAsia="楷体_GB2312" w:hAnsi="楷体_GB2312" w:cs="楷体_GB2312"/>
          <w:b w:val="0"/>
          <w:bCs w:val="0"/>
          <w:sz w:val="28"/>
          <w:szCs w:val="28"/>
        </w:rPr>
      </w:pPr>
      <w:bookmarkStart w:id="167" w:name="_Toc24708"/>
      <w:bookmarkStart w:id="168" w:name="_Toc11778"/>
      <w:bookmarkStart w:id="169" w:name="_Toc28942"/>
      <w:bookmarkStart w:id="170" w:name="_Toc6226"/>
      <w:bookmarkStart w:id="171" w:name="_Toc27719"/>
      <w:bookmarkStart w:id="172" w:name="_Toc4691"/>
      <w:bookmarkStart w:id="173" w:name="_Toc22540"/>
      <w:bookmarkStart w:id="174" w:name="_Toc8167"/>
      <w:r>
        <w:rPr>
          <w:rFonts w:ascii="楷体_GB2312" w:eastAsia="楷体_GB2312" w:hAnsi="楷体_GB2312" w:cs="楷体_GB2312" w:hint="eastAsia"/>
          <w:b w:val="0"/>
          <w:bCs w:val="0"/>
          <w:sz w:val="28"/>
          <w:szCs w:val="28"/>
        </w:rPr>
        <w:t>（一）项目</w:t>
      </w:r>
      <w:r>
        <w:rPr>
          <w:rFonts w:ascii="楷体_GB2312" w:eastAsia="楷体_GB2312" w:hAnsi="楷体_GB2312" w:cs="楷体_GB2312" w:hint="eastAsia"/>
          <w:b w:val="0"/>
          <w:bCs w:val="0"/>
          <w:sz w:val="28"/>
          <w:szCs w:val="28"/>
        </w:rPr>
        <w:t>决策指标分析</w:t>
      </w:r>
      <w:bookmarkEnd w:id="167"/>
      <w:bookmarkEnd w:id="168"/>
    </w:p>
    <w:p w:rsidR="00F55CEE" w:rsidRDefault="001145CC">
      <w:pPr>
        <w:tabs>
          <w:tab w:val="left" w:pos="5258"/>
        </w:tabs>
        <w:ind w:firstLineChars="200" w:firstLine="560"/>
        <w:jc w:val="left"/>
        <w:rPr>
          <w:lang w:val="zh-CN"/>
        </w:rPr>
      </w:pPr>
      <w:r>
        <w:rPr>
          <w:rFonts w:ascii="仿宋_GB2312" w:eastAsia="仿宋_GB2312" w:hAnsi="仿宋_GB2312" w:cs="仿宋_GB2312" w:hint="eastAsia"/>
          <w:sz w:val="28"/>
          <w:szCs w:val="28"/>
          <w:lang w:val="zh-CN"/>
        </w:rPr>
        <w:t>决策情况从</w:t>
      </w:r>
      <w:r>
        <w:rPr>
          <w:rFonts w:ascii="仿宋_GB2312" w:eastAsia="仿宋_GB2312" w:hAnsi="仿宋_GB2312" w:cs="仿宋_GB2312" w:hint="eastAsia"/>
          <w:sz w:val="28"/>
          <w:szCs w:val="28"/>
        </w:rPr>
        <w:t>项目立项、资金投入两个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25</w:t>
      </w:r>
      <w:r>
        <w:rPr>
          <w:rFonts w:ascii="仿宋_GB2312" w:eastAsia="仿宋_GB2312" w:hAnsi="仿宋_GB2312" w:cs="仿宋_GB2312" w:hint="eastAsia"/>
          <w:sz w:val="28"/>
          <w:szCs w:val="28"/>
          <w:lang w:val="zh-CN"/>
        </w:rPr>
        <w:t>分，实际得分</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lang w:val="zh-CN"/>
        </w:rPr>
        <w:t>分。指标的得分情况如下表所示。</w:t>
      </w:r>
    </w:p>
    <w:p w:rsidR="00F55CEE" w:rsidRDefault="001145CC">
      <w:pPr>
        <w:pStyle w:val="a0"/>
        <w:spacing w:after="0" w:line="360" w:lineRule="auto"/>
        <w:ind w:firstLine="560"/>
        <w:jc w:val="center"/>
        <w:rPr>
          <w:rFonts w:ascii="楷体_GB2312" w:eastAsia="楷体_GB2312" w:hAnsi="楷体_GB2312" w:cs="楷体_GB2312"/>
          <w:sz w:val="24"/>
        </w:rPr>
      </w:pPr>
      <w:r>
        <w:rPr>
          <w:rFonts w:ascii="楷体_GB2312" w:eastAsia="楷体_GB2312" w:hAnsi="楷体_GB2312" w:cs="楷体_GB2312" w:hint="eastAsia"/>
          <w:sz w:val="24"/>
        </w:rPr>
        <w:t>表</w:t>
      </w:r>
      <w:r>
        <w:rPr>
          <w:rFonts w:ascii="楷体_GB2312" w:eastAsia="楷体_GB2312" w:hAnsi="楷体_GB2312" w:cs="楷体_GB2312" w:hint="eastAsia"/>
          <w:sz w:val="24"/>
        </w:rPr>
        <w:t>3-1</w:t>
      </w:r>
      <w:r>
        <w:rPr>
          <w:rFonts w:ascii="楷体_GB2312" w:eastAsia="楷体_GB2312" w:hAnsi="楷体_GB2312" w:cs="楷体_GB2312" w:hint="eastAsia"/>
          <w:sz w:val="24"/>
        </w:rPr>
        <w:t>：决策指标得分情况</w:t>
      </w:r>
    </w:p>
    <w:tbl>
      <w:tblPr>
        <w:tblStyle w:val="aa"/>
        <w:tblW w:w="8249" w:type="dxa"/>
        <w:jc w:val="center"/>
        <w:tblLayout w:type="fixed"/>
        <w:tblLook w:val="04A0"/>
      </w:tblPr>
      <w:tblGrid>
        <w:gridCol w:w="1282"/>
        <w:gridCol w:w="2067"/>
        <w:gridCol w:w="866"/>
        <w:gridCol w:w="917"/>
        <w:gridCol w:w="1092"/>
        <w:gridCol w:w="1016"/>
        <w:gridCol w:w="1009"/>
      </w:tblGrid>
      <w:tr w:rsidR="00F55CEE">
        <w:trPr>
          <w:trHeight w:val="340"/>
          <w:jc w:val="center"/>
        </w:trPr>
        <w:tc>
          <w:tcPr>
            <w:tcW w:w="1282" w:type="dxa"/>
            <w:shd w:val="clear" w:color="auto" w:fill="D8D8D8" w:themeFill="background1" w:themeFillShade="D8"/>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lastRenderedPageBreak/>
              <w:t>二级</w:t>
            </w:r>
          </w:p>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指标</w:t>
            </w:r>
          </w:p>
        </w:tc>
        <w:tc>
          <w:tcPr>
            <w:tcW w:w="2067" w:type="dxa"/>
            <w:shd w:val="clear" w:color="auto" w:fill="D8D8D8" w:themeFill="background1" w:themeFillShade="D8"/>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866" w:type="dxa"/>
            <w:shd w:val="clear" w:color="auto" w:fill="D8D8D8" w:themeFill="background1" w:themeFillShade="D8"/>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917" w:type="dxa"/>
            <w:shd w:val="clear" w:color="auto" w:fill="D8D8D8" w:themeFill="background1" w:themeFillShade="D8"/>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1092" w:type="dxa"/>
            <w:shd w:val="clear" w:color="auto" w:fill="D8D8D8" w:themeFill="background1" w:themeFillShade="D8"/>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1016" w:type="dxa"/>
            <w:shd w:val="clear" w:color="auto" w:fill="D8D8D8" w:themeFill="background1" w:themeFillShade="D8"/>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1009" w:type="dxa"/>
            <w:shd w:val="clear" w:color="auto" w:fill="D8D8D8" w:themeFill="background1" w:themeFillShade="D8"/>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F55CEE">
        <w:trPr>
          <w:trHeight w:val="454"/>
          <w:jc w:val="center"/>
        </w:trPr>
        <w:tc>
          <w:tcPr>
            <w:tcW w:w="1282" w:type="dxa"/>
            <w:vMerge w:val="restart"/>
            <w:vAlign w:val="center"/>
          </w:tcPr>
          <w:p w:rsidR="00F55CEE" w:rsidRDefault="001145CC">
            <w:pPr>
              <w:widowControl/>
              <w:spacing w:line="28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w:t>
            </w:r>
            <w:r>
              <w:rPr>
                <w:rFonts w:ascii="楷体_GB2312" w:eastAsia="楷体_GB2312" w:hAnsi="楷体_GB2312" w:cs="楷体_GB2312" w:hint="eastAsia"/>
                <w:color w:val="000000"/>
                <w:kern w:val="0"/>
                <w:sz w:val="20"/>
                <w:szCs w:val="20"/>
                <w:lang/>
              </w:rPr>
              <w:t>项目立项</w:t>
            </w:r>
          </w:p>
        </w:tc>
        <w:tc>
          <w:tcPr>
            <w:tcW w:w="2067" w:type="dxa"/>
            <w:vAlign w:val="center"/>
          </w:tcPr>
          <w:p w:rsidR="00F55CEE" w:rsidRDefault="001145CC">
            <w:pPr>
              <w:widowControl/>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A101</w:t>
            </w:r>
            <w:r>
              <w:rPr>
                <w:rFonts w:ascii="楷体_GB2312" w:eastAsia="楷体_GB2312" w:hAnsi="楷体_GB2312" w:cs="楷体_GB2312" w:hint="eastAsia"/>
                <w:color w:val="000000"/>
                <w:kern w:val="0"/>
                <w:sz w:val="20"/>
                <w:szCs w:val="20"/>
                <w:lang/>
              </w:rPr>
              <w:t>项目立项规范性</w:t>
            </w:r>
          </w:p>
        </w:tc>
        <w:tc>
          <w:tcPr>
            <w:tcW w:w="866"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c>
          <w:tcPr>
            <w:tcW w:w="917"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规范</w:t>
            </w:r>
          </w:p>
        </w:tc>
        <w:tc>
          <w:tcPr>
            <w:tcW w:w="1092"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规范</w:t>
            </w:r>
          </w:p>
        </w:tc>
        <w:tc>
          <w:tcPr>
            <w:tcW w:w="1016"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w:t>
            </w:r>
          </w:p>
        </w:tc>
        <w:tc>
          <w:tcPr>
            <w:tcW w:w="1009" w:type="dxa"/>
            <w:vAlign w:val="center"/>
          </w:tcPr>
          <w:p w:rsidR="00F55CEE" w:rsidRDefault="001145CC">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5.00</w:t>
            </w:r>
          </w:p>
        </w:tc>
      </w:tr>
      <w:tr w:rsidR="00F55CEE">
        <w:trPr>
          <w:trHeight w:val="454"/>
          <w:jc w:val="center"/>
        </w:trPr>
        <w:tc>
          <w:tcPr>
            <w:tcW w:w="1282" w:type="dxa"/>
            <w:vMerge/>
            <w:vAlign w:val="center"/>
          </w:tcPr>
          <w:p w:rsidR="00F55CEE" w:rsidRDefault="00F55CEE">
            <w:pPr>
              <w:widowControl/>
              <w:spacing w:line="280" w:lineRule="exact"/>
              <w:jc w:val="left"/>
              <w:textAlignment w:val="center"/>
              <w:rPr>
                <w:rFonts w:ascii="楷体_GB2312" w:eastAsia="楷体_GB2312" w:hAnsi="楷体_GB2312" w:cs="楷体_GB2312"/>
                <w:color w:val="000000"/>
                <w:kern w:val="0"/>
                <w:sz w:val="20"/>
                <w:szCs w:val="20"/>
                <w:lang/>
              </w:rPr>
            </w:pPr>
          </w:p>
        </w:tc>
        <w:tc>
          <w:tcPr>
            <w:tcW w:w="2067" w:type="dxa"/>
            <w:vAlign w:val="center"/>
          </w:tcPr>
          <w:p w:rsidR="00F55CEE" w:rsidRDefault="001145CC">
            <w:pPr>
              <w:widowControl/>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A102</w:t>
            </w:r>
            <w:r>
              <w:rPr>
                <w:rFonts w:ascii="楷体_GB2312" w:eastAsia="楷体_GB2312" w:hAnsi="楷体_GB2312" w:cs="楷体_GB2312" w:hint="eastAsia"/>
                <w:color w:val="000000"/>
                <w:sz w:val="20"/>
                <w:szCs w:val="20"/>
              </w:rPr>
              <w:t>立项依据充分性</w:t>
            </w:r>
          </w:p>
        </w:tc>
        <w:tc>
          <w:tcPr>
            <w:tcW w:w="866"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c>
          <w:tcPr>
            <w:tcW w:w="917"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充分</w:t>
            </w:r>
          </w:p>
        </w:tc>
        <w:tc>
          <w:tcPr>
            <w:tcW w:w="1092"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充分</w:t>
            </w:r>
          </w:p>
        </w:tc>
        <w:tc>
          <w:tcPr>
            <w:tcW w:w="1016"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w:t>
            </w:r>
          </w:p>
        </w:tc>
        <w:tc>
          <w:tcPr>
            <w:tcW w:w="1009" w:type="dxa"/>
            <w:vAlign w:val="center"/>
          </w:tcPr>
          <w:p w:rsidR="00F55CEE" w:rsidRDefault="001145CC">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sz w:val="20"/>
                <w:szCs w:val="20"/>
              </w:rPr>
              <w:t>5.00</w:t>
            </w:r>
          </w:p>
        </w:tc>
      </w:tr>
      <w:tr w:rsidR="00F55CEE">
        <w:trPr>
          <w:trHeight w:val="454"/>
          <w:jc w:val="center"/>
        </w:trPr>
        <w:tc>
          <w:tcPr>
            <w:tcW w:w="1282" w:type="dxa"/>
            <w:vMerge/>
            <w:vAlign w:val="center"/>
          </w:tcPr>
          <w:p w:rsidR="00F55CEE" w:rsidRDefault="00F55CEE">
            <w:pPr>
              <w:widowControl/>
              <w:spacing w:line="280" w:lineRule="exact"/>
              <w:jc w:val="left"/>
              <w:textAlignment w:val="center"/>
              <w:rPr>
                <w:rFonts w:ascii="楷体_GB2312" w:eastAsia="楷体_GB2312" w:hAnsi="楷体_GB2312" w:cs="楷体_GB2312"/>
                <w:color w:val="000000"/>
                <w:kern w:val="0"/>
                <w:sz w:val="20"/>
                <w:szCs w:val="20"/>
                <w:lang/>
              </w:rPr>
            </w:pPr>
          </w:p>
        </w:tc>
        <w:tc>
          <w:tcPr>
            <w:tcW w:w="2067" w:type="dxa"/>
            <w:vAlign w:val="center"/>
          </w:tcPr>
          <w:p w:rsidR="00F55CEE" w:rsidRDefault="001145CC">
            <w:pPr>
              <w:widowControl/>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A103</w:t>
            </w:r>
            <w:r>
              <w:rPr>
                <w:rFonts w:ascii="楷体_GB2312" w:eastAsia="楷体_GB2312" w:hAnsi="楷体_GB2312" w:cs="楷体_GB2312" w:hint="eastAsia"/>
                <w:color w:val="000000"/>
                <w:kern w:val="0"/>
                <w:sz w:val="20"/>
                <w:szCs w:val="20"/>
                <w:lang/>
              </w:rPr>
              <w:t>立项程序规范性</w:t>
            </w:r>
          </w:p>
        </w:tc>
        <w:tc>
          <w:tcPr>
            <w:tcW w:w="866"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c>
          <w:tcPr>
            <w:tcW w:w="917"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规范</w:t>
            </w:r>
          </w:p>
        </w:tc>
        <w:tc>
          <w:tcPr>
            <w:tcW w:w="1092"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规范</w:t>
            </w:r>
          </w:p>
        </w:tc>
        <w:tc>
          <w:tcPr>
            <w:tcW w:w="1016"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w:t>
            </w:r>
          </w:p>
        </w:tc>
        <w:tc>
          <w:tcPr>
            <w:tcW w:w="1009" w:type="dxa"/>
            <w:vAlign w:val="center"/>
          </w:tcPr>
          <w:p w:rsidR="00F55CEE" w:rsidRDefault="001145CC">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5.00</w:t>
            </w:r>
          </w:p>
        </w:tc>
      </w:tr>
      <w:tr w:rsidR="00F55CEE">
        <w:trPr>
          <w:trHeight w:val="454"/>
          <w:jc w:val="center"/>
        </w:trPr>
        <w:tc>
          <w:tcPr>
            <w:tcW w:w="1282" w:type="dxa"/>
            <w:vMerge w:val="restart"/>
            <w:vAlign w:val="center"/>
          </w:tcPr>
          <w:p w:rsidR="00F55CEE" w:rsidRDefault="001145CC">
            <w:pPr>
              <w:widowControl/>
              <w:spacing w:line="280" w:lineRule="exact"/>
              <w:jc w:val="left"/>
              <w:textAlignment w:val="center"/>
              <w:rPr>
                <w:rFonts w:ascii="楷体_GB2312" w:eastAsia="楷体_GB2312" w:hAnsi="楷体_GB2312" w:cs="楷体_GB2312"/>
                <w:b/>
                <w:bCs/>
                <w:sz w:val="20"/>
                <w:szCs w:val="20"/>
              </w:rPr>
            </w:pPr>
            <w:r>
              <w:rPr>
                <w:rFonts w:ascii="楷体_GB2312" w:eastAsia="楷体_GB2312" w:hAnsi="楷体_GB2312" w:cs="楷体_GB2312" w:hint="eastAsia"/>
                <w:color w:val="000000"/>
                <w:kern w:val="0"/>
                <w:sz w:val="20"/>
                <w:szCs w:val="20"/>
                <w:lang/>
              </w:rPr>
              <w:t>A2</w:t>
            </w:r>
            <w:r>
              <w:rPr>
                <w:rFonts w:ascii="楷体_GB2312" w:eastAsia="楷体_GB2312" w:hAnsi="楷体_GB2312" w:cs="楷体_GB2312" w:hint="eastAsia"/>
                <w:color w:val="000000"/>
                <w:kern w:val="0"/>
                <w:sz w:val="20"/>
                <w:szCs w:val="20"/>
                <w:lang/>
              </w:rPr>
              <w:t>资金投入</w:t>
            </w:r>
          </w:p>
        </w:tc>
        <w:tc>
          <w:tcPr>
            <w:tcW w:w="2067" w:type="dxa"/>
            <w:vAlign w:val="center"/>
          </w:tcPr>
          <w:p w:rsidR="00F55CEE" w:rsidRDefault="001145CC">
            <w:pPr>
              <w:widowControl/>
              <w:spacing w:line="280" w:lineRule="exact"/>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A201</w:t>
            </w:r>
            <w:r>
              <w:rPr>
                <w:rFonts w:ascii="楷体_GB2312" w:eastAsia="楷体_GB2312" w:hAnsi="楷体_GB2312" w:cs="楷体_GB2312" w:hint="eastAsia"/>
                <w:color w:val="000000"/>
                <w:kern w:val="0"/>
                <w:sz w:val="20"/>
                <w:szCs w:val="20"/>
                <w:lang/>
              </w:rPr>
              <w:t>项目预算合规性</w:t>
            </w:r>
          </w:p>
        </w:tc>
        <w:tc>
          <w:tcPr>
            <w:tcW w:w="866"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c>
          <w:tcPr>
            <w:tcW w:w="917"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合规</w:t>
            </w:r>
          </w:p>
        </w:tc>
        <w:tc>
          <w:tcPr>
            <w:tcW w:w="1092"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合规</w:t>
            </w:r>
          </w:p>
        </w:tc>
        <w:tc>
          <w:tcPr>
            <w:tcW w:w="1016"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w:t>
            </w:r>
          </w:p>
        </w:tc>
        <w:tc>
          <w:tcPr>
            <w:tcW w:w="1009" w:type="dxa"/>
            <w:vAlign w:val="center"/>
          </w:tcPr>
          <w:p w:rsidR="00F55CEE" w:rsidRDefault="001145CC">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5.00</w:t>
            </w:r>
          </w:p>
        </w:tc>
      </w:tr>
      <w:tr w:rsidR="00F55CEE">
        <w:trPr>
          <w:trHeight w:val="454"/>
          <w:jc w:val="center"/>
        </w:trPr>
        <w:tc>
          <w:tcPr>
            <w:tcW w:w="1282" w:type="dxa"/>
            <w:vMerge/>
            <w:vAlign w:val="center"/>
          </w:tcPr>
          <w:p w:rsidR="00F55CEE" w:rsidRDefault="00F55CEE">
            <w:pPr>
              <w:widowControl/>
              <w:spacing w:line="280" w:lineRule="exact"/>
              <w:jc w:val="left"/>
              <w:textAlignment w:val="center"/>
              <w:rPr>
                <w:rFonts w:ascii="楷体_GB2312" w:eastAsia="楷体_GB2312" w:hAnsi="楷体_GB2312" w:cs="楷体_GB2312"/>
                <w:color w:val="000000"/>
                <w:kern w:val="0"/>
                <w:sz w:val="20"/>
                <w:szCs w:val="20"/>
                <w:lang/>
              </w:rPr>
            </w:pPr>
          </w:p>
        </w:tc>
        <w:tc>
          <w:tcPr>
            <w:tcW w:w="2067" w:type="dxa"/>
            <w:vAlign w:val="center"/>
          </w:tcPr>
          <w:p w:rsidR="00F55CEE" w:rsidRDefault="001145CC">
            <w:pPr>
              <w:widowControl/>
              <w:spacing w:line="280" w:lineRule="exact"/>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A202</w:t>
            </w:r>
            <w:r>
              <w:rPr>
                <w:rFonts w:ascii="楷体_GB2312" w:eastAsia="楷体_GB2312" w:hAnsi="楷体_GB2312" w:cs="楷体_GB2312" w:hint="eastAsia"/>
                <w:color w:val="000000"/>
                <w:kern w:val="0"/>
                <w:sz w:val="20"/>
                <w:szCs w:val="20"/>
                <w:lang/>
              </w:rPr>
              <w:t>绩效目标合理性</w:t>
            </w:r>
          </w:p>
        </w:tc>
        <w:tc>
          <w:tcPr>
            <w:tcW w:w="866"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5.00</w:t>
            </w:r>
          </w:p>
        </w:tc>
        <w:tc>
          <w:tcPr>
            <w:tcW w:w="917"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合理</w:t>
            </w:r>
          </w:p>
        </w:tc>
        <w:tc>
          <w:tcPr>
            <w:tcW w:w="1092" w:type="dxa"/>
            <w:vAlign w:val="center"/>
          </w:tcPr>
          <w:p w:rsidR="00F55CEE" w:rsidRDefault="00F55CEE">
            <w:pPr>
              <w:widowControl/>
              <w:spacing w:line="280" w:lineRule="exact"/>
              <w:jc w:val="center"/>
              <w:textAlignment w:val="bottom"/>
              <w:rPr>
                <w:rFonts w:ascii="楷体_GB2312" w:eastAsia="楷体_GB2312" w:hAnsi="楷体_GB2312" w:cs="楷体_GB2312"/>
                <w:color w:val="000000"/>
                <w:kern w:val="0"/>
                <w:sz w:val="20"/>
                <w:szCs w:val="20"/>
                <w:lang/>
              </w:rPr>
            </w:pPr>
          </w:p>
        </w:tc>
        <w:tc>
          <w:tcPr>
            <w:tcW w:w="1016" w:type="dxa"/>
            <w:vAlign w:val="center"/>
          </w:tcPr>
          <w:p w:rsidR="00F55CEE" w:rsidRDefault="00F55CEE">
            <w:pPr>
              <w:widowControl/>
              <w:spacing w:line="280" w:lineRule="exact"/>
              <w:jc w:val="center"/>
              <w:textAlignment w:val="bottom"/>
              <w:rPr>
                <w:rFonts w:ascii="楷体_GB2312" w:eastAsia="楷体_GB2312" w:hAnsi="楷体_GB2312" w:cs="楷体_GB2312"/>
                <w:color w:val="000000"/>
                <w:kern w:val="0"/>
                <w:sz w:val="20"/>
                <w:szCs w:val="20"/>
                <w:lang/>
              </w:rPr>
            </w:pPr>
          </w:p>
        </w:tc>
        <w:tc>
          <w:tcPr>
            <w:tcW w:w="1009" w:type="dxa"/>
            <w:vAlign w:val="center"/>
          </w:tcPr>
          <w:p w:rsidR="00F55CEE" w:rsidRDefault="001145CC">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kern w:val="0"/>
                <w:sz w:val="20"/>
                <w:szCs w:val="20"/>
                <w:lang/>
              </w:rPr>
              <w:t>0.00</w:t>
            </w:r>
          </w:p>
        </w:tc>
      </w:tr>
      <w:tr w:rsidR="00F55CEE">
        <w:trPr>
          <w:trHeight w:val="460"/>
          <w:jc w:val="center"/>
        </w:trPr>
        <w:tc>
          <w:tcPr>
            <w:tcW w:w="1282" w:type="dxa"/>
            <w:vAlign w:val="center"/>
          </w:tcPr>
          <w:p w:rsidR="00F55CEE" w:rsidRDefault="00F55CEE">
            <w:pPr>
              <w:widowControl/>
              <w:spacing w:line="280" w:lineRule="exact"/>
              <w:jc w:val="left"/>
              <w:textAlignment w:val="center"/>
              <w:rPr>
                <w:rFonts w:ascii="楷体_GB2312" w:eastAsia="楷体_GB2312" w:hAnsi="楷体_GB2312" w:cs="楷体_GB2312"/>
                <w:color w:val="000000"/>
                <w:kern w:val="0"/>
                <w:sz w:val="20"/>
                <w:szCs w:val="20"/>
                <w:lang/>
              </w:rPr>
            </w:pPr>
          </w:p>
        </w:tc>
        <w:tc>
          <w:tcPr>
            <w:tcW w:w="2067" w:type="dxa"/>
            <w:vAlign w:val="center"/>
          </w:tcPr>
          <w:p w:rsidR="00F55CEE" w:rsidRDefault="001145CC">
            <w:pPr>
              <w:widowControl/>
              <w:spacing w:line="280" w:lineRule="exact"/>
              <w:ind w:firstLineChars="400" w:firstLine="803"/>
              <w:textAlignment w:val="bottom"/>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b/>
                <w:bCs/>
                <w:color w:val="000000"/>
                <w:kern w:val="0"/>
                <w:sz w:val="20"/>
                <w:szCs w:val="20"/>
                <w:lang/>
              </w:rPr>
              <w:t>合</w:t>
            </w:r>
            <w:r>
              <w:rPr>
                <w:rFonts w:ascii="楷体_GB2312" w:eastAsia="楷体_GB2312" w:hAnsi="楷体_GB2312" w:cs="楷体_GB2312" w:hint="eastAsia"/>
                <w:b/>
                <w:bCs/>
                <w:color w:val="000000"/>
                <w:kern w:val="0"/>
                <w:sz w:val="20"/>
                <w:szCs w:val="20"/>
                <w:lang/>
              </w:rPr>
              <w:t xml:space="preserve"> </w:t>
            </w:r>
            <w:r>
              <w:rPr>
                <w:rFonts w:ascii="楷体_GB2312" w:eastAsia="楷体_GB2312" w:hAnsi="楷体_GB2312" w:cs="楷体_GB2312" w:hint="eastAsia"/>
                <w:b/>
                <w:bCs/>
                <w:color w:val="000000"/>
                <w:kern w:val="0"/>
                <w:sz w:val="20"/>
                <w:szCs w:val="20"/>
                <w:lang/>
              </w:rPr>
              <w:t>计</w:t>
            </w:r>
          </w:p>
        </w:tc>
        <w:tc>
          <w:tcPr>
            <w:tcW w:w="866" w:type="dxa"/>
            <w:vAlign w:val="center"/>
          </w:tcPr>
          <w:p w:rsidR="00F55CEE" w:rsidRDefault="001145CC">
            <w:pPr>
              <w:widowControl/>
              <w:spacing w:line="280" w:lineRule="exact"/>
              <w:jc w:val="center"/>
              <w:textAlignment w:val="bottom"/>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b/>
                <w:bCs/>
                <w:color w:val="000000"/>
                <w:kern w:val="0"/>
                <w:sz w:val="20"/>
                <w:szCs w:val="20"/>
                <w:lang/>
              </w:rPr>
              <w:t>25.00</w:t>
            </w:r>
          </w:p>
        </w:tc>
        <w:tc>
          <w:tcPr>
            <w:tcW w:w="917" w:type="dxa"/>
            <w:vAlign w:val="center"/>
          </w:tcPr>
          <w:p w:rsidR="00F55CEE" w:rsidRDefault="00F55CEE">
            <w:pPr>
              <w:widowControl/>
              <w:spacing w:line="280" w:lineRule="exact"/>
              <w:jc w:val="center"/>
              <w:textAlignment w:val="bottom"/>
              <w:rPr>
                <w:rFonts w:ascii="楷体_GB2312" w:eastAsia="楷体_GB2312" w:hAnsi="楷体_GB2312" w:cs="楷体_GB2312"/>
                <w:b/>
                <w:bCs/>
                <w:color w:val="000000"/>
                <w:kern w:val="0"/>
                <w:sz w:val="20"/>
                <w:szCs w:val="20"/>
                <w:lang/>
              </w:rPr>
            </w:pPr>
          </w:p>
        </w:tc>
        <w:tc>
          <w:tcPr>
            <w:tcW w:w="1092" w:type="dxa"/>
            <w:vAlign w:val="center"/>
          </w:tcPr>
          <w:p w:rsidR="00F55CEE" w:rsidRDefault="00F55CEE">
            <w:pPr>
              <w:widowControl/>
              <w:spacing w:line="280" w:lineRule="exact"/>
              <w:jc w:val="center"/>
              <w:textAlignment w:val="bottom"/>
              <w:rPr>
                <w:rFonts w:ascii="楷体_GB2312" w:eastAsia="楷体_GB2312" w:hAnsi="楷体_GB2312" w:cs="楷体_GB2312"/>
                <w:b/>
                <w:bCs/>
                <w:sz w:val="20"/>
                <w:szCs w:val="20"/>
              </w:rPr>
            </w:pPr>
          </w:p>
        </w:tc>
        <w:tc>
          <w:tcPr>
            <w:tcW w:w="1016" w:type="dxa"/>
            <w:vAlign w:val="center"/>
          </w:tcPr>
          <w:p w:rsidR="00F55CEE" w:rsidRDefault="001145CC">
            <w:pPr>
              <w:widowControl/>
              <w:spacing w:line="280" w:lineRule="exact"/>
              <w:jc w:val="center"/>
              <w:textAlignment w:val="bottom"/>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80%</w:t>
            </w:r>
          </w:p>
        </w:tc>
        <w:tc>
          <w:tcPr>
            <w:tcW w:w="1009" w:type="dxa"/>
            <w:vAlign w:val="center"/>
          </w:tcPr>
          <w:p w:rsidR="00F55CEE" w:rsidRDefault="001145CC">
            <w:pPr>
              <w:widowControl/>
              <w:spacing w:line="280" w:lineRule="exact"/>
              <w:jc w:val="center"/>
              <w:textAlignment w:val="bottom"/>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20.00</w:t>
            </w:r>
          </w:p>
        </w:tc>
      </w:tr>
    </w:tbl>
    <w:p w:rsidR="00F55CEE" w:rsidRDefault="001145CC">
      <w:pPr>
        <w:pStyle w:val="a9"/>
        <w:widowControl/>
        <w:shd w:val="clear" w:color="auto" w:fill="FFFFFF"/>
        <w:spacing w:before="0" w:beforeAutospacing="0" w:after="0" w:afterAutospacing="0"/>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A101</w:t>
      </w:r>
      <w:r>
        <w:rPr>
          <w:rFonts w:ascii="仿宋_GB2312" w:eastAsia="仿宋_GB2312" w:hAnsi="仿宋_GB2312" w:cs="仿宋_GB2312" w:hint="eastAsia"/>
          <w:b/>
          <w:bCs/>
          <w:kern w:val="2"/>
          <w:sz w:val="28"/>
          <w:szCs w:val="28"/>
        </w:rPr>
        <w:t>项目立项规范性：</w:t>
      </w:r>
      <w:r>
        <w:rPr>
          <w:rFonts w:ascii="仿宋_GB2312" w:eastAsia="仿宋_GB2312" w:hAnsi="仿宋_GB2312" w:cs="仿宋_GB2312" w:hint="eastAsia"/>
          <w:kern w:val="2"/>
          <w:sz w:val="28"/>
          <w:szCs w:val="28"/>
        </w:rPr>
        <w:t>该指标考察项目立项是否符合当地需求，是否有相关审批手续。</w:t>
      </w:r>
    </w:p>
    <w:p w:rsidR="00F55CEE" w:rsidRDefault="001145CC">
      <w:pPr>
        <w:ind w:firstLineChars="200" w:firstLine="560"/>
        <w:rPr>
          <w:rFonts w:ascii="楷体_GB2312" w:eastAsia="楷体_GB2312" w:hAnsi="楷体_GB2312" w:cs="楷体_GB2312"/>
          <w:sz w:val="28"/>
          <w:szCs w:val="28"/>
        </w:rPr>
      </w:pPr>
      <w:r>
        <w:rPr>
          <w:rFonts w:ascii="仿宋_GB2312" w:eastAsia="仿宋_GB2312" w:hAnsi="仿宋_GB2312" w:cs="仿宋_GB2312" w:hint="eastAsia"/>
          <w:sz w:val="28"/>
          <w:szCs w:val="28"/>
        </w:rPr>
        <w:t>山西省于</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年颁布了</w:t>
      </w:r>
      <w:r>
        <w:rPr>
          <w:rFonts w:ascii="仿宋_GB2312" w:eastAsia="仿宋_GB2312" w:hAnsi="仿宋_GB2312" w:cs="仿宋_GB2312" w:hint="eastAsia"/>
          <w:sz w:val="28"/>
          <w:szCs w:val="28"/>
        </w:rPr>
        <w:t>《山西省交通运输厅关于农村旅游公路建设规划（</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2018</w:t>
      </w:r>
      <w:r>
        <w:rPr>
          <w:rFonts w:ascii="仿宋_GB2312" w:eastAsia="仿宋_GB2312" w:hAnsi="仿宋_GB2312" w:cs="仿宋_GB2312" w:hint="eastAsia"/>
          <w:sz w:val="28"/>
          <w:szCs w:val="28"/>
        </w:rPr>
        <w:t>年颁布了《山西省三大板块旅游公路规划纲要（</w:t>
      </w:r>
      <w:r>
        <w:rPr>
          <w:rFonts w:ascii="仿宋_GB2312" w:eastAsia="仿宋_GB2312" w:hAnsi="仿宋_GB2312" w:cs="仿宋_GB2312" w:hint="eastAsia"/>
          <w:sz w:val="28"/>
          <w:szCs w:val="28"/>
        </w:rPr>
        <w:t>2018-2027</w:t>
      </w:r>
      <w:r>
        <w:rPr>
          <w:rFonts w:ascii="仿宋_GB2312" w:eastAsia="仿宋_GB2312" w:hAnsi="仿宋_GB2312" w:cs="仿宋_GB2312" w:hint="eastAsia"/>
          <w:sz w:val="28"/>
          <w:szCs w:val="28"/>
        </w:rPr>
        <w:t>年）》明确到</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年，建成黄河、长城、太行三大板块旅游公路网络。黎城县积极响应上级号召，分别于</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2017</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2018</w:t>
      </w:r>
      <w:r>
        <w:rPr>
          <w:rFonts w:ascii="仿宋_GB2312" w:eastAsia="仿宋_GB2312" w:hAnsi="仿宋_GB2312" w:cs="仿宋_GB2312" w:hint="eastAsia"/>
          <w:sz w:val="28"/>
          <w:szCs w:val="28"/>
        </w:rPr>
        <w:t>年对各相关旅游公路工程进行可研报告考察批复。项目立项经过县委相关部门考察论证，符合黎城县当地发展的需求，该指标得满分。</w:t>
      </w:r>
    </w:p>
    <w:bookmarkEnd w:id="162"/>
    <w:bookmarkEnd w:id="163"/>
    <w:bookmarkEnd w:id="164"/>
    <w:bookmarkEnd w:id="165"/>
    <w:bookmarkEnd w:id="166"/>
    <w:bookmarkEnd w:id="169"/>
    <w:bookmarkEnd w:id="170"/>
    <w:bookmarkEnd w:id="171"/>
    <w:bookmarkEnd w:id="172"/>
    <w:bookmarkEnd w:id="173"/>
    <w:bookmarkEnd w:id="174"/>
    <w:p w:rsidR="00F55CEE" w:rsidRDefault="001145CC">
      <w:pPr>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A102</w:t>
      </w:r>
      <w:r>
        <w:rPr>
          <w:rFonts w:ascii="仿宋_GB2312" w:eastAsia="仿宋_GB2312" w:hAnsi="仿宋_GB2312" w:cs="仿宋_GB2312" w:hint="eastAsia"/>
          <w:b/>
          <w:bCs/>
          <w:sz w:val="28"/>
          <w:szCs w:val="28"/>
        </w:rPr>
        <w:t>立项依据充分性：</w:t>
      </w:r>
      <w:r>
        <w:rPr>
          <w:rFonts w:ascii="仿宋_GB2312" w:eastAsia="仿宋_GB2312" w:hAnsi="仿宋_GB2312" w:cs="仿宋_GB2312" w:hint="eastAsia"/>
          <w:sz w:val="28"/>
          <w:szCs w:val="28"/>
        </w:rPr>
        <w:t>该指标考察项目的申请、设立过程是否符合相关要求，用以反映和考核项目立项的规范情况。</w:t>
      </w:r>
    </w:p>
    <w:p w:rsidR="00F55CEE" w:rsidRDefault="001145C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三大板块旅游公路项目是黎城县的一项重点工程，该项目作为连接黎城县区各旅游景点的重要道路，</w:t>
      </w:r>
      <w:r>
        <w:rPr>
          <w:rFonts w:ascii="仿宋_GB2312" w:eastAsia="仿宋_GB2312" w:hAnsi="仿宋_GB2312" w:cs="仿宋_GB2312" w:hint="eastAsia"/>
          <w:sz w:val="28"/>
          <w:szCs w:val="28"/>
        </w:rPr>
        <w:t>现有线形指标较低、路面破损严重、安保设施缺失，道路运营能力较差，车辆运行存在很大的安全隐患，无法满足三大板块旅游公路的整体规划要求，道路亟待提升改造。县政府授权黎城县交通运输局为三大板块旅游公路工程具体实施机</w:t>
      </w:r>
      <w:r>
        <w:rPr>
          <w:rFonts w:ascii="仿宋_GB2312" w:eastAsia="仿宋_GB2312" w:hAnsi="仿宋_GB2312" w:cs="仿宋_GB2312" w:hint="eastAsia"/>
          <w:sz w:val="28"/>
          <w:szCs w:val="28"/>
        </w:rPr>
        <w:lastRenderedPageBreak/>
        <w:t>构，符合该部门职责。项目实施满足城市快速客运需求，改善了当地居民出行环境，符合黎城县发展需求，该指标得满分。</w:t>
      </w:r>
    </w:p>
    <w:p w:rsidR="00F55CEE" w:rsidRDefault="001145CC">
      <w:pPr>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A103</w:t>
      </w:r>
      <w:r>
        <w:rPr>
          <w:rFonts w:ascii="仿宋_GB2312" w:eastAsia="仿宋_GB2312" w:hAnsi="仿宋_GB2312" w:cs="仿宋_GB2312" w:hint="eastAsia"/>
          <w:b/>
          <w:bCs/>
          <w:sz w:val="28"/>
          <w:szCs w:val="28"/>
        </w:rPr>
        <w:t>立项程序规范性：</w:t>
      </w:r>
      <w:r>
        <w:rPr>
          <w:rFonts w:ascii="仿宋_GB2312" w:eastAsia="仿宋_GB2312" w:hAnsi="仿宋_GB2312" w:cs="仿宋_GB2312" w:hint="eastAsia"/>
          <w:sz w:val="28"/>
          <w:szCs w:val="28"/>
        </w:rPr>
        <w:t>该指标考察项目立项过程是否符合国家要求，事前是否已经过必要的可行性研究、专家论证、风险评估、绩效评估、集体决策。</w:t>
      </w:r>
    </w:p>
    <w:p w:rsidR="00F55CEE" w:rsidRDefault="001145CC">
      <w:pPr>
        <w:pStyle w:val="a0"/>
        <w:spacing w:line="360" w:lineRule="auto"/>
        <w:ind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三大板块旅游公路项目经县发改委批准建设，县交通局为实施机构，黎城县发改委下达</w:t>
      </w:r>
      <w:r>
        <w:rPr>
          <w:rFonts w:ascii="仿宋_GB2312" w:eastAsia="仿宋_GB2312" w:hAnsi="仿宋_GB2312" w:cs="仿宋_GB2312" w:hint="eastAsia"/>
          <w:sz w:val="28"/>
          <w:szCs w:val="28"/>
        </w:rPr>
        <w:t>黎发改审发（</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115</w:t>
      </w:r>
      <w:r>
        <w:rPr>
          <w:rFonts w:ascii="仿宋_GB2312" w:eastAsia="仿宋_GB2312" w:hAnsi="仿宋_GB2312" w:cs="仿宋_GB2312" w:hint="eastAsia"/>
          <w:sz w:val="28"/>
          <w:szCs w:val="28"/>
        </w:rPr>
        <w:t>号、黎发改审发（</w:t>
      </w:r>
      <w:r>
        <w:rPr>
          <w:rFonts w:ascii="仿宋_GB2312" w:eastAsia="仿宋_GB2312" w:hAnsi="仿宋_GB2312" w:cs="仿宋_GB2312" w:hint="eastAsia"/>
          <w:sz w:val="28"/>
          <w:szCs w:val="28"/>
        </w:rPr>
        <w:t>2017</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43</w:t>
      </w:r>
      <w:r>
        <w:rPr>
          <w:rFonts w:ascii="仿宋_GB2312" w:eastAsia="仿宋_GB2312" w:hAnsi="仿宋_GB2312" w:cs="仿宋_GB2312" w:hint="eastAsia"/>
          <w:sz w:val="28"/>
          <w:szCs w:val="28"/>
        </w:rPr>
        <w:t>号</w:t>
      </w:r>
      <w:r>
        <w:rPr>
          <w:rFonts w:ascii="仿宋_GB2312" w:eastAsia="仿宋_GB2312" w:hAnsi="仿宋_GB2312" w:cs="仿宋_GB2312" w:hint="eastAsia"/>
          <w:sz w:val="28"/>
          <w:szCs w:val="28"/>
        </w:rPr>
        <w:t>等文件批复该项目的可行性研究报告，有相关初设批复、环评批复等，项目立项依据充分、流程规范。该指标得满分。</w:t>
      </w:r>
    </w:p>
    <w:p w:rsidR="00F55CEE" w:rsidRDefault="001145CC">
      <w:pPr>
        <w:pStyle w:val="a9"/>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A201</w:t>
      </w:r>
      <w:r>
        <w:rPr>
          <w:rFonts w:ascii="仿宋_GB2312" w:eastAsia="仿宋_GB2312" w:hAnsi="仿宋_GB2312" w:cs="仿宋_GB2312" w:hint="eastAsia"/>
          <w:b/>
          <w:bCs/>
          <w:kern w:val="2"/>
          <w:sz w:val="28"/>
          <w:szCs w:val="28"/>
        </w:rPr>
        <w:t>项目预算合规性：</w:t>
      </w:r>
      <w:r>
        <w:rPr>
          <w:rFonts w:ascii="仿宋_GB2312" w:eastAsia="仿宋_GB2312" w:hAnsi="仿宋_GB2312" w:cs="仿宋_GB2312" w:hint="eastAsia"/>
          <w:kern w:val="2"/>
          <w:sz w:val="28"/>
          <w:szCs w:val="28"/>
        </w:rPr>
        <w:t>该指标考察项目预算编制是否合理、合规，是否由专业机构编制。</w:t>
      </w:r>
    </w:p>
    <w:p w:rsidR="00F55CEE" w:rsidRDefault="001145CC">
      <w:pPr>
        <w:ind w:firstLineChars="200" w:firstLine="560"/>
      </w:pPr>
      <w:r>
        <w:rPr>
          <w:rFonts w:ascii="仿宋_GB2312" w:eastAsia="仿宋_GB2312" w:hAnsi="仿宋_GB2312" w:cs="仿宋_GB2312" w:hint="eastAsia"/>
          <w:sz w:val="28"/>
          <w:szCs w:val="28"/>
        </w:rPr>
        <w:t>评价组经过检查项目可行性报告与实施方案，该项目预算编制经过可行性报告、初步设计等论证，经过专家论证，符合工程实际情况，国家标准试用合格，项目预计总投资</w:t>
      </w:r>
      <w:r>
        <w:rPr>
          <w:rFonts w:ascii="仿宋_GB2312" w:eastAsia="仿宋_GB2312" w:hAnsi="仿宋_GB2312" w:cs="仿宋_GB2312" w:hint="eastAsia"/>
          <w:sz w:val="28"/>
          <w:szCs w:val="28"/>
        </w:rPr>
        <w:t>22711.9836</w:t>
      </w:r>
      <w:r>
        <w:rPr>
          <w:rFonts w:ascii="仿宋_GB2312" w:eastAsia="仿宋_GB2312" w:hAnsi="仿宋_GB2312" w:cs="仿宋_GB2312" w:hint="eastAsia"/>
          <w:sz w:val="28"/>
          <w:szCs w:val="28"/>
        </w:rPr>
        <w:t>万元合理，项目预</w:t>
      </w:r>
      <w:r>
        <w:rPr>
          <w:rFonts w:ascii="仿宋_GB2312" w:eastAsia="仿宋_GB2312" w:hAnsi="仿宋_GB2312" w:cs="仿宋_GB2312" w:hint="eastAsia"/>
          <w:sz w:val="28"/>
          <w:szCs w:val="28"/>
        </w:rPr>
        <w:t>算合规，该指标得满分。</w:t>
      </w:r>
    </w:p>
    <w:p w:rsidR="00F55CEE" w:rsidRDefault="001145CC">
      <w:pPr>
        <w:spacing w:line="360" w:lineRule="auto"/>
        <w:jc w:val="center"/>
        <w:rPr>
          <w:rFonts w:ascii="楷体_GB2312" w:eastAsia="楷体_GB2312" w:hAnsi="楷体_GB2312" w:cs="楷体_GB2312"/>
          <w:sz w:val="24"/>
        </w:rPr>
      </w:pPr>
      <w:r>
        <w:rPr>
          <w:rFonts w:ascii="楷体_GB2312" w:eastAsia="楷体_GB2312" w:hAnsi="楷体_GB2312" w:cs="楷体_GB2312" w:hint="eastAsia"/>
          <w:sz w:val="24"/>
        </w:rPr>
        <w:t>表</w:t>
      </w:r>
      <w:r>
        <w:rPr>
          <w:rFonts w:ascii="楷体_GB2312" w:eastAsia="楷体_GB2312" w:hAnsi="楷体_GB2312" w:cs="楷体_GB2312" w:hint="eastAsia"/>
          <w:sz w:val="24"/>
        </w:rPr>
        <w:t>3-2</w:t>
      </w:r>
      <w:r>
        <w:rPr>
          <w:rFonts w:ascii="楷体_GB2312" w:eastAsia="楷体_GB2312" w:hAnsi="楷体_GB2312" w:cs="楷体_GB2312" w:hint="eastAsia"/>
          <w:sz w:val="24"/>
        </w:rPr>
        <w:t>：预算投资明细情况表</w:t>
      </w:r>
    </w:p>
    <w:tbl>
      <w:tblPr>
        <w:tblW w:w="8080" w:type="dxa"/>
        <w:tblCellMar>
          <w:left w:w="0" w:type="dxa"/>
          <w:right w:w="0" w:type="dxa"/>
        </w:tblCellMar>
        <w:tblLook w:val="04A0"/>
      </w:tblPr>
      <w:tblGrid>
        <w:gridCol w:w="1140"/>
        <w:gridCol w:w="3290"/>
        <w:gridCol w:w="3650"/>
      </w:tblGrid>
      <w:tr w:rsidR="00F55CEE">
        <w:trPr>
          <w:trHeight w:val="454"/>
          <w:tblHeader/>
        </w:trPr>
        <w:tc>
          <w:tcPr>
            <w:tcW w:w="1140"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F55CEE" w:rsidRDefault="001145CC">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序号</w:t>
            </w:r>
          </w:p>
        </w:tc>
        <w:tc>
          <w:tcPr>
            <w:tcW w:w="3290"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F55CEE" w:rsidRDefault="001145CC">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工程段名称</w:t>
            </w:r>
          </w:p>
        </w:tc>
        <w:tc>
          <w:tcPr>
            <w:tcW w:w="3650"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F55CEE" w:rsidRDefault="001145CC">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价值</w:t>
            </w:r>
            <w:r>
              <w:rPr>
                <w:rFonts w:ascii="楷体_GB2312" w:eastAsia="楷体_GB2312" w:hAnsi="楷体_GB2312" w:cs="楷体_GB2312" w:hint="eastAsia"/>
                <w:b/>
                <w:bCs/>
                <w:color w:val="000000"/>
                <w:kern w:val="0"/>
                <w:sz w:val="20"/>
                <w:szCs w:val="20"/>
                <w:lang/>
              </w:rPr>
              <w:t>(</w:t>
            </w:r>
            <w:r>
              <w:rPr>
                <w:rFonts w:ascii="楷体_GB2312" w:eastAsia="楷体_GB2312" w:hAnsi="楷体_GB2312" w:cs="楷体_GB2312" w:hint="eastAsia"/>
                <w:b/>
                <w:bCs/>
                <w:color w:val="000000"/>
                <w:kern w:val="0"/>
                <w:sz w:val="20"/>
                <w:szCs w:val="20"/>
                <w:lang/>
              </w:rPr>
              <w:t>万元</w:t>
            </w:r>
            <w:r>
              <w:rPr>
                <w:rFonts w:ascii="楷体_GB2312" w:eastAsia="楷体_GB2312" w:hAnsi="楷体_GB2312" w:cs="楷体_GB2312" w:hint="eastAsia"/>
                <w:b/>
                <w:bCs/>
                <w:color w:val="000000"/>
                <w:kern w:val="0"/>
                <w:sz w:val="20"/>
                <w:szCs w:val="20"/>
                <w:lang/>
              </w:rPr>
              <w:t>)</w:t>
            </w:r>
          </w:p>
        </w:tc>
      </w:tr>
      <w:tr w:rsidR="00F55CEE">
        <w:trPr>
          <w:trHeight w:val="454"/>
        </w:trPr>
        <w:tc>
          <w:tcPr>
            <w:tcW w:w="114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b/>
                <w:bCs/>
                <w:color w:val="000000"/>
                <w:sz w:val="20"/>
                <w:szCs w:val="20"/>
              </w:rPr>
            </w:pPr>
            <w:r>
              <w:rPr>
                <w:rFonts w:ascii="仿宋_GB2312" w:eastAsia="仿宋_GB2312" w:hAnsi="仿宋_GB2312" w:cs="仿宋_GB2312" w:hint="eastAsia"/>
                <w:color w:val="000000"/>
                <w:kern w:val="0"/>
                <w:sz w:val="20"/>
                <w:szCs w:val="20"/>
                <w:lang/>
              </w:rPr>
              <w:t>1</w:t>
            </w:r>
          </w:p>
        </w:tc>
        <w:tc>
          <w:tcPr>
            <w:tcW w:w="329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b/>
                <w:bCs/>
                <w:color w:val="000000"/>
                <w:kern w:val="0"/>
                <w:sz w:val="20"/>
                <w:szCs w:val="20"/>
                <w:lang/>
              </w:rPr>
            </w:pPr>
            <w:r>
              <w:rPr>
                <w:rFonts w:ascii="仿宋_GB2312" w:eastAsia="仿宋_GB2312" w:hAnsi="仿宋_GB2312" w:cs="仿宋_GB2312" w:hint="eastAsia"/>
                <w:color w:val="000000"/>
                <w:kern w:val="0"/>
                <w:sz w:val="20"/>
                <w:szCs w:val="20"/>
                <w:lang/>
              </w:rPr>
              <w:t>港东</w:t>
            </w:r>
            <w:r>
              <w:rPr>
                <w:rFonts w:ascii="仿宋_GB2312" w:eastAsia="仿宋_GB2312" w:hAnsi="仿宋_GB2312" w:cs="仿宋_GB2312" w:hint="eastAsia"/>
                <w:color w:val="000000"/>
                <w:kern w:val="0"/>
                <w:sz w:val="20"/>
                <w:szCs w:val="20"/>
                <w:lang/>
              </w:rPr>
              <w:t>-</w:t>
            </w:r>
            <w:r>
              <w:rPr>
                <w:rFonts w:ascii="仿宋_GB2312" w:eastAsia="仿宋_GB2312" w:hAnsi="仿宋_GB2312" w:cs="仿宋_GB2312" w:hint="eastAsia"/>
                <w:color w:val="000000"/>
                <w:kern w:val="0"/>
                <w:sz w:val="20"/>
                <w:szCs w:val="20"/>
                <w:lang/>
              </w:rPr>
              <w:t>白岩寺段</w:t>
            </w:r>
          </w:p>
        </w:tc>
        <w:tc>
          <w:tcPr>
            <w:tcW w:w="365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color w:val="000000"/>
                <w:kern w:val="0"/>
                <w:sz w:val="20"/>
                <w:szCs w:val="20"/>
                <w:lang/>
              </w:rPr>
            </w:pPr>
            <w:r>
              <w:rPr>
                <w:rFonts w:ascii="仿宋_GB2312" w:eastAsia="仿宋_GB2312" w:hAnsi="仿宋_GB2312" w:cs="仿宋_GB2312" w:hint="eastAsia"/>
                <w:color w:val="000000"/>
                <w:kern w:val="0"/>
                <w:sz w:val="20"/>
                <w:szCs w:val="20"/>
                <w:lang/>
              </w:rPr>
              <w:t xml:space="preserve">2918.2687 </w:t>
            </w:r>
          </w:p>
        </w:tc>
      </w:tr>
      <w:tr w:rsidR="00F55CEE">
        <w:trPr>
          <w:trHeight w:val="454"/>
        </w:trPr>
        <w:tc>
          <w:tcPr>
            <w:tcW w:w="114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b/>
                <w:bCs/>
                <w:color w:val="000000"/>
                <w:sz w:val="20"/>
                <w:szCs w:val="20"/>
              </w:rPr>
            </w:pPr>
            <w:r>
              <w:rPr>
                <w:rFonts w:ascii="仿宋_GB2312" w:eastAsia="仿宋_GB2312" w:hAnsi="仿宋_GB2312" w:cs="仿宋_GB2312" w:hint="eastAsia"/>
                <w:color w:val="000000"/>
                <w:kern w:val="0"/>
                <w:sz w:val="20"/>
                <w:szCs w:val="20"/>
                <w:lang/>
              </w:rPr>
              <w:t>2</w:t>
            </w:r>
          </w:p>
        </w:tc>
        <w:tc>
          <w:tcPr>
            <w:tcW w:w="329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b/>
                <w:bCs/>
                <w:color w:val="000000"/>
                <w:kern w:val="0"/>
                <w:sz w:val="20"/>
                <w:szCs w:val="20"/>
                <w:lang/>
              </w:rPr>
            </w:pPr>
            <w:r>
              <w:rPr>
                <w:rFonts w:ascii="仿宋_GB2312" w:eastAsia="仿宋_GB2312" w:hAnsi="仿宋_GB2312" w:cs="仿宋_GB2312" w:hint="eastAsia"/>
                <w:color w:val="000000"/>
                <w:kern w:val="0"/>
                <w:sz w:val="20"/>
                <w:szCs w:val="20"/>
                <w:lang/>
              </w:rPr>
              <w:t>北泉寨</w:t>
            </w:r>
            <w:r>
              <w:rPr>
                <w:rFonts w:ascii="仿宋_GB2312" w:eastAsia="仿宋_GB2312" w:hAnsi="仿宋_GB2312" w:cs="仿宋_GB2312" w:hint="eastAsia"/>
                <w:color w:val="000000"/>
                <w:kern w:val="0"/>
                <w:sz w:val="20"/>
                <w:szCs w:val="20"/>
                <w:lang/>
              </w:rPr>
              <w:t>-</w:t>
            </w:r>
            <w:r>
              <w:rPr>
                <w:rFonts w:ascii="仿宋_GB2312" w:eastAsia="仿宋_GB2312" w:hAnsi="仿宋_GB2312" w:cs="仿宋_GB2312" w:hint="eastAsia"/>
                <w:color w:val="000000"/>
                <w:kern w:val="0"/>
                <w:sz w:val="20"/>
                <w:szCs w:val="20"/>
                <w:lang/>
              </w:rPr>
              <w:t>后家滩段</w:t>
            </w:r>
          </w:p>
        </w:tc>
        <w:tc>
          <w:tcPr>
            <w:tcW w:w="365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color w:val="000000"/>
                <w:kern w:val="0"/>
                <w:sz w:val="20"/>
                <w:szCs w:val="20"/>
                <w:lang/>
              </w:rPr>
            </w:pPr>
            <w:r>
              <w:rPr>
                <w:rFonts w:ascii="仿宋_GB2312" w:eastAsia="仿宋_GB2312" w:hAnsi="仿宋_GB2312" w:cs="仿宋_GB2312" w:hint="eastAsia"/>
                <w:color w:val="000000"/>
                <w:kern w:val="0"/>
                <w:sz w:val="20"/>
                <w:szCs w:val="20"/>
                <w:lang/>
              </w:rPr>
              <w:t xml:space="preserve">8228.488 </w:t>
            </w:r>
          </w:p>
        </w:tc>
      </w:tr>
      <w:tr w:rsidR="00F55CEE">
        <w:trPr>
          <w:trHeight w:val="454"/>
        </w:trPr>
        <w:tc>
          <w:tcPr>
            <w:tcW w:w="114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b/>
                <w:bCs/>
                <w:color w:val="000000"/>
                <w:sz w:val="20"/>
                <w:szCs w:val="20"/>
              </w:rPr>
            </w:pPr>
            <w:r>
              <w:rPr>
                <w:rFonts w:ascii="仿宋_GB2312" w:eastAsia="仿宋_GB2312" w:hAnsi="仿宋_GB2312" w:cs="仿宋_GB2312" w:hint="eastAsia"/>
                <w:color w:val="000000"/>
                <w:kern w:val="0"/>
                <w:sz w:val="20"/>
                <w:szCs w:val="20"/>
                <w:lang/>
              </w:rPr>
              <w:t>3</w:t>
            </w:r>
          </w:p>
        </w:tc>
        <w:tc>
          <w:tcPr>
            <w:tcW w:w="329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b/>
                <w:bCs/>
                <w:color w:val="000000"/>
                <w:kern w:val="0"/>
                <w:sz w:val="20"/>
                <w:szCs w:val="20"/>
                <w:lang/>
              </w:rPr>
            </w:pPr>
            <w:r>
              <w:rPr>
                <w:rFonts w:ascii="仿宋_GB2312" w:eastAsia="仿宋_GB2312" w:hAnsi="仿宋_GB2312" w:cs="仿宋_GB2312" w:hint="eastAsia"/>
                <w:color w:val="000000"/>
                <w:kern w:val="0"/>
                <w:sz w:val="20"/>
                <w:szCs w:val="20"/>
                <w:lang/>
              </w:rPr>
              <w:t>杨家庄</w:t>
            </w:r>
            <w:r>
              <w:rPr>
                <w:rFonts w:ascii="仿宋_GB2312" w:eastAsia="仿宋_GB2312" w:hAnsi="仿宋_GB2312" w:cs="仿宋_GB2312" w:hint="eastAsia"/>
                <w:color w:val="000000"/>
                <w:kern w:val="0"/>
                <w:sz w:val="20"/>
                <w:szCs w:val="20"/>
                <w:lang/>
              </w:rPr>
              <w:t>-</w:t>
            </w:r>
            <w:r>
              <w:rPr>
                <w:rFonts w:ascii="仿宋_GB2312" w:eastAsia="仿宋_GB2312" w:hAnsi="仿宋_GB2312" w:cs="仿宋_GB2312" w:hint="eastAsia"/>
                <w:color w:val="000000"/>
                <w:kern w:val="0"/>
                <w:sz w:val="20"/>
                <w:szCs w:val="20"/>
                <w:lang/>
              </w:rPr>
              <w:t>龙洞段第一期</w:t>
            </w:r>
          </w:p>
        </w:tc>
        <w:tc>
          <w:tcPr>
            <w:tcW w:w="365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color w:val="000000"/>
                <w:kern w:val="0"/>
                <w:sz w:val="20"/>
                <w:szCs w:val="20"/>
                <w:lang/>
              </w:rPr>
            </w:pPr>
            <w:r>
              <w:rPr>
                <w:rFonts w:ascii="仿宋_GB2312" w:eastAsia="仿宋_GB2312" w:hAnsi="仿宋_GB2312" w:cs="仿宋_GB2312" w:hint="eastAsia"/>
                <w:color w:val="000000"/>
                <w:kern w:val="0"/>
                <w:sz w:val="20"/>
                <w:szCs w:val="20"/>
                <w:lang/>
              </w:rPr>
              <w:t xml:space="preserve">4138.4451 </w:t>
            </w:r>
          </w:p>
        </w:tc>
      </w:tr>
      <w:tr w:rsidR="00F55CEE">
        <w:trPr>
          <w:trHeight w:val="454"/>
        </w:trPr>
        <w:tc>
          <w:tcPr>
            <w:tcW w:w="114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b/>
                <w:bCs/>
                <w:color w:val="000000"/>
                <w:sz w:val="20"/>
                <w:szCs w:val="20"/>
              </w:rPr>
            </w:pPr>
            <w:r>
              <w:rPr>
                <w:rFonts w:ascii="仿宋_GB2312" w:eastAsia="仿宋_GB2312" w:hAnsi="仿宋_GB2312" w:cs="仿宋_GB2312" w:hint="eastAsia"/>
                <w:color w:val="000000"/>
                <w:kern w:val="0"/>
                <w:sz w:val="20"/>
                <w:szCs w:val="20"/>
                <w:lang/>
              </w:rPr>
              <w:t>4</w:t>
            </w:r>
          </w:p>
        </w:tc>
        <w:tc>
          <w:tcPr>
            <w:tcW w:w="329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b/>
                <w:bCs/>
                <w:color w:val="000000"/>
                <w:kern w:val="0"/>
                <w:sz w:val="20"/>
                <w:szCs w:val="20"/>
                <w:lang/>
              </w:rPr>
            </w:pPr>
            <w:r>
              <w:rPr>
                <w:rFonts w:ascii="仿宋_GB2312" w:eastAsia="仿宋_GB2312" w:hAnsi="仿宋_GB2312" w:cs="仿宋_GB2312" w:hint="eastAsia"/>
                <w:color w:val="000000"/>
                <w:kern w:val="0"/>
                <w:sz w:val="20"/>
                <w:szCs w:val="20"/>
                <w:lang/>
              </w:rPr>
              <w:t>西进</w:t>
            </w:r>
            <w:r>
              <w:rPr>
                <w:rFonts w:ascii="仿宋_GB2312" w:eastAsia="仿宋_GB2312" w:hAnsi="仿宋_GB2312" w:cs="仿宋_GB2312" w:hint="eastAsia"/>
                <w:color w:val="000000"/>
                <w:kern w:val="0"/>
                <w:sz w:val="20"/>
                <w:szCs w:val="20"/>
                <w:lang/>
              </w:rPr>
              <w:t>-</w:t>
            </w:r>
            <w:r>
              <w:rPr>
                <w:rFonts w:ascii="仿宋_GB2312" w:eastAsia="仿宋_GB2312" w:hAnsi="仿宋_GB2312" w:cs="仿宋_GB2312" w:hint="eastAsia"/>
                <w:color w:val="000000"/>
                <w:kern w:val="0"/>
                <w:sz w:val="20"/>
                <w:szCs w:val="20"/>
                <w:lang/>
              </w:rPr>
              <w:t>板山段</w:t>
            </w:r>
          </w:p>
        </w:tc>
        <w:tc>
          <w:tcPr>
            <w:tcW w:w="365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color w:val="000000"/>
                <w:kern w:val="0"/>
                <w:sz w:val="20"/>
                <w:szCs w:val="20"/>
                <w:lang/>
              </w:rPr>
            </w:pPr>
            <w:r>
              <w:rPr>
                <w:rFonts w:ascii="仿宋_GB2312" w:eastAsia="仿宋_GB2312" w:hAnsi="仿宋_GB2312" w:cs="仿宋_GB2312" w:hint="eastAsia"/>
                <w:color w:val="000000"/>
                <w:kern w:val="0"/>
                <w:sz w:val="20"/>
                <w:szCs w:val="20"/>
                <w:lang/>
              </w:rPr>
              <w:t xml:space="preserve">7426.7818 </w:t>
            </w:r>
          </w:p>
        </w:tc>
      </w:tr>
      <w:tr w:rsidR="00F55CEE">
        <w:trPr>
          <w:trHeight w:val="454"/>
        </w:trPr>
        <w:tc>
          <w:tcPr>
            <w:tcW w:w="114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F55CEE">
            <w:pPr>
              <w:jc w:val="center"/>
              <w:rPr>
                <w:rFonts w:ascii="仿宋_GB2312" w:eastAsia="仿宋_GB2312" w:hAnsi="仿宋_GB2312" w:cs="仿宋_GB2312"/>
                <w:b/>
                <w:bCs/>
                <w:color w:val="000000"/>
                <w:sz w:val="20"/>
                <w:szCs w:val="20"/>
              </w:rPr>
            </w:pPr>
          </w:p>
        </w:tc>
        <w:tc>
          <w:tcPr>
            <w:tcW w:w="329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b/>
                <w:bCs/>
                <w:color w:val="000000"/>
                <w:sz w:val="20"/>
                <w:szCs w:val="20"/>
              </w:rPr>
            </w:pPr>
            <w:r>
              <w:rPr>
                <w:rFonts w:ascii="仿宋_GB2312" w:eastAsia="仿宋_GB2312" w:hAnsi="仿宋_GB2312" w:cs="仿宋_GB2312" w:hint="eastAsia"/>
                <w:b/>
                <w:bCs/>
                <w:color w:val="000000"/>
                <w:kern w:val="0"/>
                <w:sz w:val="20"/>
                <w:szCs w:val="20"/>
                <w:lang/>
              </w:rPr>
              <w:t>预计总投资合计</w:t>
            </w:r>
          </w:p>
        </w:tc>
        <w:tc>
          <w:tcPr>
            <w:tcW w:w="365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color w:val="000000"/>
                <w:kern w:val="0"/>
                <w:sz w:val="20"/>
                <w:szCs w:val="20"/>
                <w:lang/>
              </w:rPr>
            </w:pPr>
            <w:r>
              <w:rPr>
                <w:rFonts w:ascii="仿宋_GB2312" w:eastAsia="仿宋_GB2312" w:hAnsi="仿宋_GB2312" w:cs="仿宋_GB2312" w:hint="eastAsia"/>
                <w:color w:val="000000"/>
                <w:kern w:val="0"/>
                <w:sz w:val="20"/>
                <w:szCs w:val="20"/>
                <w:lang/>
              </w:rPr>
              <w:t>22711.9836</w:t>
            </w:r>
          </w:p>
        </w:tc>
      </w:tr>
    </w:tbl>
    <w:p w:rsidR="00F55CEE" w:rsidRDefault="001145CC">
      <w:pPr>
        <w:ind w:firstLineChars="200" w:firstLine="562"/>
      </w:pPr>
      <w:r>
        <w:rPr>
          <w:rFonts w:ascii="仿宋_GB2312" w:eastAsia="仿宋_GB2312" w:hAnsi="仿宋_GB2312" w:cs="仿宋_GB2312" w:hint="eastAsia"/>
          <w:b/>
          <w:bCs/>
          <w:sz w:val="28"/>
          <w:szCs w:val="28"/>
        </w:rPr>
        <w:t>A202</w:t>
      </w:r>
      <w:r>
        <w:rPr>
          <w:rFonts w:ascii="仿宋_GB2312" w:eastAsia="仿宋_GB2312" w:hAnsi="仿宋_GB2312" w:cs="仿宋_GB2312" w:hint="eastAsia"/>
          <w:b/>
          <w:bCs/>
          <w:sz w:val="28"/>
          <w:szCs w:val="28"/>
        </w:rPr>
        <w:t>绩效目标合理性：</w:t>
      </w:r>
      <w:r>
        <w:rPr>
          <w:rFonts w:ascii="仿宋_GB2312" w:eastAsia="仿宋_GB2312" w:hAnsi="仿宋_GB2312" w:cs="仿宋_GB2312" w:hint="eastAsia"/>
          <w:sz w:val="28"/>
          <w:szCs w:val="28"/>
        </w:rPr>
        <w:t>该指标考察项目是否有绩效目标，绩效</w:t>
      </w:r>
      <w:r>
        <w:rPr>
          <w:rFonts w:ascii="仿宋_GB2312" w:eastAsia="仿宋_GB2312" w:hAnsi="仿宋_GB2312" w:cs="仿宋_GB2312" w:hint="eastAsia"/>
          <w:sz w:val="28"/>
          <w:szCs w:val="28"/>
        </w:rPr>
        <w:lastRenderedPageBreak/>
        <w:t>目标与实际工作内容是否具有相关性，项目预期产出效益和效果是否符合正常的业绩水平。</w:t>
      </w:r>
    </w:p>
    <w:p w:rsidR="00F55CEE" w:rsidRDefault="001145C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建设资金项目无自评报告，未见相关资金申报对应的绩效目标，该项目绩效目标为项目整体目标，产出不够具体。三大板块旅游公路建设资金项目应在不同的建设阶段应当设置不同的绩效目标，分阶段考核项目进展情况，计划工程量与实际工程量对比，形成最终的绩效目标。该项指标不得分。</w:t>
      </w:r>
    </w:p>
    <w:p w:rsidR="00F55CEE" w:rsidRDefault="001145CC" w:rsidP="00DC5F81">
      <w:pPr>
        <w:pStyle w:val="2"/>
        <w:spacing w:before="0" w:line="360" w:lineRule="auto"/>
        <w:ind w:leftChars="200" w:left="420"/>
        <w:rPr>
          <w:rFonts w:ascii="楷体_GB2312" w:eastAsia="楷体_GB2312" w:hAnsi="楷体_GB2312" w:cs="楷体_GB2312"/>
          <w:b w:val="0"/>
          <w:bCs w:val="0"/>
          <w:sz w:val="28"/>
          <w:szCs w:val="28"/>
        </w:rPr>
      </w:pPr>
      <w:bookmarkStart w:id="175" w:name="_Toc743"/>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二</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过程指标分析</w:t>
      </w:r>
      <w:bookmarkEnd w:id="175"/>
    </w:p>
    <w:p w:rsidR="00F55CEE" w:rsidRDefault="001145CC">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rPr>
        <w:t>过程</w:t>
      </w:r>
      <w:r>
        <w:rPr>
          <w:rFonts w:ascii="仿宋_GB2312" w:eastAsia="仿宋_GB2312" w:hAnsi="仿宋_GB2312" w:cs="仿宋_GB2312" w:hint="eastAsia"/>
          <w:sz w:val="28"/>
          <w:szCs w:val="28"/>
          <w:lang w:val="zh-CN"/>
        </w:rPr>
        <w:t>情况从</w:t>
      </w:r>
      <w:r>
        <w:rPr>
          <w:rFonts w:ascii="仿宋_GB2312" w:eastAsia="仿宋_GB2312" w:hAnsi="仿宋_GB2312" w:cs="仿宋_GB2312" w:hint="eastAsia"/>
          <w:sz w:val="28"/>
          <w:szCs w:val="28"/>
        </w:rPr>
        <w:t>项目管理、资金管理两个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25</w:t>
      </w:r>
      <w:r>
        <w:rPr>
          <w:rFonts w:ascii="仿宋_GB2312" w:eastAsia="仿宋_GB2312" w:hAnsi="仿宋_GB2312" w:cs="仿宋_GB2312" w:hint="eastAsia"/>
          <w:sz w:val="28"/>
          <w:szCs w:val="28"/>
          <w:lang w:val="zh-CN"/>
        </w:rPr>
        <w:t>分，实际得</w:t>
      </w:r>
      <w:r>
        <w:rPr>
          <w:rFonts w:ascii="仿宋_GB2312" w:eastAsia="仿宋_GB2312" w:hAnsi="仿宋_GB2312" w:cs="仿宋_GB2312" w:hint="eastAsia"/>
          <w:sz w:val="28"/>
          <w:szCs w:val="28"/>
          <w:lang w:val="zh-CN"/>
        </w:rPr>
        <w:t>分</w:t>
      </w:r>
      <w:r>
        <w:rPr>
          <w:rFonts w:ascii="仿宋_GB2312" w:eastAsia="仿宋_GB2312" w:hAnsi="仿宋_GB2312" w:cs="仿宋_GB2312" w:hint="eastAsia"/>
          <w:sz w:val="28"/>
          <w:szCs w:val="28"/>
        </w:rPr>
        <w:t>21</w:t>
      </w:r>
      <w:r>
        <w:rPr>
          <w:rFonts w:ascii="仿宋_GB2312" w:eastAsia="仿宋_GB2312" w:hAnsi="仿宋_GB2312" w:cs="仿宋_GB2312" w:hint="eastAsia"/>
          <w:sz w:val="28"/>
          <w:szCs w:val="28"/>
          <w:lang w:val="zh-CN"/>
        </w:rPr>
        <w:t>分。指</w:t>
      </w:r>
      <w:r>
        <w:rPr>
          <w:rFonts w:ascii="仿宋_GB2312" w:eastAsia="仿宋_GB2312" w:hAnsi="仿宋_GB2312" w:cs="仿宋_GB2312" w:hint="eastAsia"/>
          <w:sz w:val="28"/>
          <w:szCs w:val="28"/>
          <w:lang w:val="zh-CN"/>
        </w:rPr>
        <w:t>标的得分情况如下表所示。</w:t>
      </w:r>
    </w:p>
    <w:p w:rsidR="00F55CEE" w:rsidRDefault="001145CC">
      <w:pPr>
        <w:pStyle w:val="a0"/>
        <w:spacing w:after="0" w:line="360" w:lineRule="auto"/>
        <w:ind w:firstLine="560"/>
        <w:rPr>
          <w:rFonts w:ascii="仿宋_GB2312" w:eastAsia="仿宋_GB2312" w:hAnsi="仿宋_GB2312" w:cs="仿宋_GB2312"/>
          <w:sz w:val="24"/>
        </w:rPr>
      </w:pPr>
      <w:r>
        <w:rPr>
          <w:rFonts w:ascii="仿宋_GB2312" w:eastAsia="仿宋_GB2312" w:hAnsi="仿宋_GB2312" w:cs="仿宋_GB2312" w:hint="eastAsia"/>
          <w:sz w:val="24"/>
        </w:rPr>
        <w:t>表</w:t>
      </w:r>
      <w:r>
        <w:rPr>
          <w:rFonts w:ascii="仿宋_GB2312" w:eastAsia="仿宋_GB2312" w:hAnsi="仿宋_GB2312" w:cs="仿宋_GB2312" w:hint="eastAsia"/>
          <w:sz w:val="24"/>
        </w:rPr>
        <w:t>3-3</w:t>
      </w:r>
      <w:r>
        <w:rPr>
          <w:rFonts w:ascii="仿宋_GB2312" w:eastAsia="仿宋_GB2312" w:hAnsi="仿宋_GB2312" w:cs="仿宋_GB2312" w:hint="eastAsia"/>
          <w:sz w:val="24"/>
        </w:rPr>
        <w:t>：过程</w:t>
      </w:r>
      <w:r>
        <w:rPr>
          <w:rFonts w:ascii="仿宋_GB2312" w:eastAsia="仿宋_GB2312" w:hAnsi="仿宋_GB2312" w:cs="仿宋_GB2312" w:hint="eastAsia"/>
          <w:sz w:val="24"/>
        </w:rPr>
        <w:t>指标得分情况</w:t>
      </w:r>
    </w:p>
    <w:tbl>
      <w:tblPr>
        <w:tblStyle w:val="aa"/>
        <w:tblW w:w="8351" w:type="dxa"/>
        <w:tblInd w:w="80" w:type="dxa"/>
        <w:tblLayout w:type="fixed"/>
        <w:tblLook w:val="04A0"/>
      </w:tblPr>
      <w:tblGrid>
        <w:gridCol w:w="1011"/>
        <w:gridCol w:w="2780"/>
        <w:gridCol w:w="910"/>
        <w:gridCol w:w="820"/>
        <w:gridCol w:w="880"/>
        <w:gridCol w:w="960"/>
        <w:gridCol w:w="990"/>
      </w:tblGrid>
      <w:tr w:rsidR="00F55CEE">
        <w:trPr>
          <w:trHeight w:val="340"/>
          <w:tblHeader/>
        </w:trPr>
        <w:tc>
          <w:tcPr>
            <w:tcW w:w="1011" w:type="dxa"/>
            <w:shd w:val="clear" w:color="auto" w:fill="BFBFBF" w:themeFill="background1" w:themeFillShade="BF"/>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w:t>
            </w:r>
          </w:p>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指标</w:t>
            </w:r>
          </w:p>
        </w:tc>
        <w:tc>
          <w:tcPr>
            <w:tcW w:w="2780" w:type="dxa"/>
            <w:shd w:val="clear" w:color="auto" w:fill="BFBFBF" w:themeFill="background1" w:themeFillShade="BF"/>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910" w:type="dxa"/>
            <w:shd w:val="clear" w:color="auto" w:fill="BFBFBF" w:themeFill="background1" w:themeFillShade="BF"/>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820" w:type="dxa"/>
            <w:shd w:val="clear" w:color="auto" w:fill="BFBFBF" w:themeFill="background1" w:themeFillShade="BF"/>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880" w:type="dxa"/>
            <w:shd w:val="clear" w:color="auto" w:fill="BFBFBF" w:themeFill="background1" w:themeFillShade="BF"/>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960" w:type="dxa"/>
            <w:shd w:val="clear" w:color="auto" w:fill="BFBFBF" w:themeFill="background1" w:themeFillShade="BF"/>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990" w:type="dxa"/>
            <w:shd w:val="clear" w:color="auto" w:fill="BFBFBF" w:themeFill="background1" w:themeFillShade="BF"/>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F55CEE">
        <w:trPr>
          <w:trHeight w:val="340"/>
        </w:trPr>
        <w:tc>
          <w:tcPr>
            <w:tcW w:w="1011" w:type="dxa"/>
            <w:vMerge w:val="restart"/>
            <w:vAlign w:val="center"/>
          </w:tcPr>
          <w:p w:rsidR="00F55CEE" w:rsidRDefault="00F55CEE">
            <w:pPr>
              <w:pStyle w:val="a0"/>
              <w:spacing w:after="0" w:line="240" w:lineRule="exact"/>
              <w:jc w:val="center"/>
              <w:rPr>
                <w:rFonts w:ascii="楷体_GB2312" w:eastAsia="楷体_GB2312" w:hAnsi="楷体_GB2312" w:cs="楷体_GB2312"/>
                <w:color w:val="000000"/>
                <w:kern w:val="0"/>
                <w:sz w:val="20"/>
                <w:szCs w:val="20"/>
                <w:lang/>
              </w:rPr>
            </w:pPr>
          </w:p>
          <w:p w:rsidR="00F55CEE" w:rsidRDefault="00F55CEE">
            <w:pPr>
              <w:pStyle w:val="a0"/>
              <w:spacing w:after="0" w:line="240" w:lineRule="exact"/>
              <w:jc w:val="center"/>
              <w:rPr>
                <w:rFonts w:ascii="楷体_GB2312" w:eastAsia="楷体_GB2312" w:hAnsi="楷体_GB2312" w:cs="楷体_GB2312"/>
                <w:color w:val="000000"/>
                <w:kern w:val="0"/>
                <w:sz w:val="20"/>
                <w:szCs w:val="20"/>
                <w:lang/>
              </w:rPr>
            </w:pPr>
          </w:p>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color w:val="000000"/>
                <w:kern w:val="0"/>
                <w:sz w:val="20"/>
                <w:szCs w:val="20"/>
                <w:lang/>
              </w:rPr>
              <w:t>B1</w:t>
            </w:r>
            <w:r>
              <w:rPr>
                <w:rFonts w:ascii="楷体_GB2312" w:eastAsia="楷体_GB2312" w:hAnsi="楷体_GB2312" w:cs="楷体_GB2312" w:hint="eastAsia"/>
                <w:color w:val="000000"/>
                <w:kern w:val="0"/>
                <w:sz w:val="20"/>
                <w:szCs w:val="20"/>
                <w:lang/>
              </w:rPr>
              <w:t>项目管理</w:t>
            </w:r>
          </w:p>
        </w:tc>
        <w:tc>
          <w:tcPr>
            <w:tcW w:w="2780" w:type="dxa"/>
            <w:vAlign w:val="center"/>
          </w:tcPr>
          <w:p w:rsidR="00F55CEE" w:rsidRDefault="001145CC">
            <w:pPr>
              <w:widowControl/>
              <w:spacing w:line="280" w:lineRule="exact"/>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B101</w:t>
            </w:r>
            <w:r>
              <w:rPr>
                <w:rFonts w:ascii="楷体_GB2312" w:eastAsia="楷体_GB2312" w:hAnsi="楷体_GB2312" w:cs="楷体_GB2312" w:hint="eastAsia"/>
                <w:color w:val="000000"/>
                <w:kern w:val="0"/>
                <w:sz w:val="20"/>
                <w:szCs w:val="20"/>
                <w:lang/>
              </w:rPr>
              <w:t>项目管理制度健全性</w:t>
            </w:r>
          </w:p>
        </w:tc>
        <w:tc>
          <w:tcPr>
            <w:tcW w:w="91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c>
          <w:tcPr>
            <w:tcW w:w="82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健全</w:t>
            </w:r>
          </w:p>
        </w:tc>
        <w:tc>
          <w:tcPr>
            <w:tcW w:w="88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健全</w:t>
            </w:r>
          </w:p>
        </w:tc>
        <w:tc>
          <w:tcPr>
            <w:tcW w:w="960" w:type="dxa"/>
            <w:vAlign w:val="center"/>
          </w:tcPr>
          <w:p w:rsidR="00F55CEE" w:rsidRDefault="001145CC">
            <w:pPr>
              <w:spacing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F55CEE" w:rsidRDefault="001145CC">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kern w:val="0"/>
                <w:sz w:val="20"/>
                <w:szCs w:val="20"/>
                <w:lang/>
              </w:rPr>
              <w:t>3.00</w:t>
            </w:r>
          </w:p>
        </w:tc>
      </w:tr>
      <w:tr w:rsidR="00F55CEE">
        <w:trPr>
          <w:trHeight w:val="340"/>
        </w:trPr>
        <w:tc>
          <w:tcPr>
            <w:tcW w:w="1011" w:type="dxa"/>
            <w:vMerge/>
            <w:vAlign w:val="center"/>
          </w:tcPr>
          <w:p w:rsidR="00F55CEE" w:rsidRDefault="00F55CEE">
            <w:pPr>
              <w:pStyle w:val="a0"/>
              <w:spacing w:after="0" w:line="240" w:lineRule="exact"/>
              <w:jc w:val="center"/>
              <w:rPr>
                <w:rFonts w:ascii="楷体_GB2312" w:eastAsia="楷体_GB2312" w:hAnsi="楷体_GB2312" w:cs="楷体_GB2312"/>
                <w:color w:val="000000"/>
                <w:kern w:val="0"/>
                <w:sz w:val="20"/>
                <w:szCs w:val="20"/>
                <w:lang/>
              </w:rPr>
            </w:pPr>
          </w:p>
        </w:tc>
        <w:tc>
          <w:tcPr>
            <w:tcW w:w="2780" w:type="dxa"/>
            <w:vAlign w:val="center"/>
          </w:tcPr>
          <w:p w:rsidR="00F55CEE" w:rsidRDefault="001145CC">
            <w:pPr>
              <w:widowControl/>
              <w:spacing w:line="280" w:lineRule="exact"/>
              <w:textAlignment w:val="bottom"/>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B102</w:t>
            </w:r>
            <w:r>
              <w:rPr>
                <w:rFonts w:ascii="楷体_GB2312" w:eastAsia="楷体_GB2312" w:hAnsi="楷体_GB2312" w:cs="楷体_GB2312" w:hint="eastAsia"/>
                <w:bCs/>
                <w:kern w:val="0"/>
                <w:sz w:val="20"/>
                <w:szCs w:val="20"/>
              </w:rPr>
              <w:t>项目招标合规性</w:t>
            </w:r>
          </w:p>
        </w:tc>
        <w:tc>
          <w:tcPr>
            <w:tcW w:w="91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c>
          <w:tcPr>
            <w:tcW w:w="82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合规</w:t>
            </w:r>
          </w:p>
        </w:tc>
        <w:tc>
          <w:tcPr>
            <w:tcW w:w="88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合规</w:t>
            </w:r>
          </w:p>
        </w:tc>
        <w:tc>
          <w:tcPr>
            <w:tcW w:w="960" w:type="dxa"/>
            <w:vAlign w:val="center"/>
          </w:tcPr>
          <w:p w:rsidR="00F55CEE" w:rsidRDefault="001145CC">
            <w:pPr>
              <w:spacing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F55CEE" w:rsidRDefault="001145CC">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kern w:val="0"/>
                <w:sz w:val="20"/>
                <w:szCs w:val="20"/>
                <w:lang/>
              </w:rPr>
              <w:t>3.00</w:t>
            </w:r>
          </w:p>
        </w:tc>
      </w:tr>
      <w:tr w:rsidR="00F55CEE">
        <w:trPr>
          <w:trHeight w:val="340"/>
        </w:trPr>
        <w:tc>
          <w:tcPr>
            <w:tcW w:w="1011" w:type="dxa"/>
            <w:vMerge/>
            <w:vAlign w:val="center"/>
          </w:tcPr>
          <w:p w:rsidR="00F55CEE" w:rsidRDefault="00F55CEE">
            <w:pPr>
              <w:pStyle w:val="a0"/>
              <w:spacing w:after="0" w:line="240" w:lineRule="exact"/>
              <w:jc w:val="center"/>
              <w:rPr>
                <w:rFonts w:ascii="楷体_GB2312" w:eastAsia="楷体_GB2312" w:hAnsi="楷体_GB2312" w:cs="楷体_GB2312"/>
                <w:color w:val="000000"/>
                <w:kern w:val="0"/>
                <w:sz w:val="20"/>
                <w:szCs w:val="20"/>
                <w:lang/>
              </w:rPr>
            </w:pPr>
          </w:p>
        </w:tc>
        <w:tc>
          <w:tcPr>
            <w:tcW w:w="2780" w:type="dxa"/>
            <w:vAlign w:val="center"/>
          </w:tcPr>
          <w:p w:rsidR="00F55CEE" w:rsidRDefault="001145CC">
            <w:pPr>
              <w:widowControl/>
              <w:spacing w:line="280" w:lineRule="exact"/>
              <w:textAlignment w:val="bottom"/>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B103</w:t>
            </w:r>
            <w:r>
              <w:rPr>
                <w:rFonts w:ascii="楷体_GB2312" w:eastAsia="楷体_GB2312" w:hAnsi="楷体_GB2312" w:cs="楷体_GB2312" w:hint="eastAsia"/>
                <w:bCs/>
                <w:kern w:val="0"/>
                <w:sz w:val="20"/>
                <w:szCs w:val="20"/>
              </w:rPr>
              <w:t>项目变更程序规范性</w:t>
            </w:r>
          </w:p>
        </w:tc>
        <w:tc>
          <w:tcPr>
            <w:tcW w:w="91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4.00</w:t>
            </w:r>
          </w:p>
        </w:tc>
        <w:tc>
          <w:tcPr>
            <w:tcW w:w="82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规范</w:t>
            </w:r>
          </w:p>
        </w:tc>
        <w:tc>
          <w:tcPr>
            <w:tcW w:w="88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规范</w:t>
            </w:r>
          </w:p>
        </w:tc>
        <w:tc>
          <w:tcPr>
            <w:tcW w:w="960" w:type="dxa"/>
            <w:vAlign w:val="center"/>
          </w:tcPr>
          <w:p w:rsidR="00F55CEE" w:rsidRDefault="001145CC">
            <w:pPr>
              <w:spacing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4.00</w:t>
            </w:r>
          </w:p>
        </w:tc>
      </w:tr>
      <w:tr w:rsidR="00F55CEE">
        <w:trPr>
          <w:trHeight w:val="340"/>
        </w:trPr>
        <w:tc>
          <w:tcPr>
            <w:tcW w:w="1011" w:type="dxa"/>
            <w:vMerge/>
            <w:vAlign w:val="center"/>
          </w:tcPr>
          <w:p w:rsidR="00F55CEE" w:rsidRDefault="00F55CEE">
            <w:pPr>
              <w:pStyle w:val="a0"/>
              <w:spacing w:after="0" w:line="240" w:lineRule="exact"/>
              <w:jc w:val="center"/>
              <w:rPr>
                <w:rFonts w:ascii="楷体_GB2312" w:eastAsia="楷体_GB2312" w:hAnsi="楷体_GB2312" w:cs="楷体_GB2312"/>
                <w:color w:val="000000"/>
                <w:kern w:val="0"/>
                <w:sz w:val="20"/>
                <w:szCs w:val="20"/>
                <w:lang/>
              </w:rPr>
            </w:pPr>
          </w:p>
        </w:tc>
        <w:tc>
          <w:tcPr>
            <w:tcW w:w="2780" w:type="dxa"/>
            <w:vAlign w:val="center"/>
          </w:tcPr>
          <w:p w:rsidR="00F55CEE" w:rsidRDefault="001145CC">
            <w:pPr>
              <w:widowControl/>
              <w:spacing w:line="280" w:lineRule="exact"/>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bCs/>
                <w:kern w:val="0"/>
                <w:sz w:val="20"/>
                <w:szCs w:val="20"/>
              </w:rPr>
              <w:t>B104</w:t>
            </w:r>
            <w:r>
              <w:rPr>
                <w:rFonts w:ascii="楷体_GB2312" w:eastAsia="楷体_GB2312" w:hAnsi="楷体_GB2312" w:cs="楷体_GB2312" w:hint="eastAsia"/>
                <w:bCs/>
                <w:kern w:val="0"/>
                <w:sz w:val="20"/>
                <w:szCs w:val="20"/>
              </w:rPr>
              <w:t>项目监理规范性</w:t>
            </w:r>
          </w:p>
        </w:tc>
        <w:tc>
          <w:tcPr>
            <w:tcW w:w="91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c>
          <w:tcPr>
            <w:tcW w:w="82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规范</w:t>
            </w:r>
          </w:p>
        </w:tc>
        <w:tc>
          <w:tcPr>
            <w:tcW w:w="88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规范</w:t>
            </w:r>
          </w:p>
        </w:tc>
        <w:tc>
          <w:tcPr>
            <w:tcW w:w="960" w:type="dxa"/>
            <w:vAlign w:val="center"/>
          </w:tcPr>
          <w:p w:rsidR="00F55CEE" w:rsidRDefault="001145CC">
            <w:pPr>
              <w:spacing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3.00</w:t>
            </w:r>
          </w:p>
        </w:tc>
      </w:tr>
      <w:tr w:rsidR="00F55CEE">
        <w:trPr>
          <w:trHeight w:val="340"/>
        </w:trPr>
        <w:tc>
          <w:tcPr>
            <w:tcW w:w="1011" w:type="dxa"/>
            <w:vMerge w:val="restart"/>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color w:val="000000"/>
                <w:kern w:val="0"/>
                <w:sz w:val="20"/>
                <w:szCs w:val="20"/>
                <w:lang/>
              </w:rPr>
              <w:t>B2</w:t>
            </w:r>
            <w:r>
              <w:rPr>
                <w:rFonts w:ascii="楷体_GB2312" w:eastAsia="楷体_GB2312" w:hAnsi="楷体_GB2312" w:cs="楷体_GB2312" w:hint="eastAsia"/>
                <w:color w:val="000000"/>
                <w:kern w:val="0"/>
                <w:sz w:val="20"/>
                <w:szCs w:val="20"/>
                <w:lang/>
              </w:rPr>
              <w:t>资金管理</w:t>
            </w:r>
          </w:p>
        </w:tc>
        <w:tc>
          <w:tcPr>
            <w:tcW w:w="2780" w:type="dxa"/>
            <w:vAlign w:val="center"/>
          </w:tcPr>
          <w:p w:rsidR="00F55CEE" w:rsidRDefault="001145CC">
            <w:pPr>
              <w:jc w:val="left"/>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B201</w:t>
            </w:r>
            <w:r>
              <w:rPr>
                <w:rFonts w:ascii="楷体_GB2312" w:eastAsia="楷体_GB2312" w:hAnsi="楷体_GB2312" w:cs="楷体_GB2312" w:hint="eastAsia"/>
                <w:bCs/>
                <w:kern w:val="0"/>
                <w:sz w:val="20"/>
                <w:szCs w:val="20"/>
              </w:rPr>
              <w:t>项目资金到位率</w:t>
            </w:r>
          </w:p>
        </w:tc>
        <w:tc>
          <w:tcPr>
            <w:tcW w:w="91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c>
          <w:tcPr>
            <w:tcW w:w="82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88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960" w:type="dxa"/>
            <w:vAlign w:val="center"/>
          </w:tcPr>
          <w:p w:rsidR="00F55CEE" w:rsidRDefault="001145CC">
            <w:pPr>
              <w:widowControl/>
              <w:spacing w:line="280" w:lineRule="exact"/>
              <w:jc w:val="center"/>
              <w:textAlignment w:val="bottom"/>
              <w:rPr>
                <w:rFonts w:ascii="楷体_GB2312" w:eastAsia="楷体_GB2312" w:hAnsi="楷体_GB2312" w:cs="楷体_GB2312"/>
                <w:b/>
                <w:bCs/>
                <w:sz w:val="20"/>
                <w:szCs w:val="20"/>
              </w:rPr>
            </w:pPr>
            <w:r>
              <w:rPr>
                <w:rFonts w:ascii="楷体_GB2312" w:eastAsia="楷体_GB2312" w:hAnsi="楷体_GB2312" w:cs="楷体_GB2312" w:hint="eastAsia"/>
                <w:sz w:val="20"/>
                <w:szCs w:val="20"/>
              </w:rPr>
              <w:t>100%</w:t>
            </w:r>
          </w:p>
        </w:tc>
        <w:tc>
          <w:tcPr>
            <w:tcW w:w="990" w:type="dxa"/>
            <w:vAlign w:val="center"/>
          </w:tcPr>
          <w:p w:rsidR="00F55CEE" w:rsidRDefault="001145CC">
            <w:pPr>
              <w:pStyle w:val="a0"/>
              <w:spacing w:after="0" w:line="360" w:lineRule="auto"/>
              <w:jc w:val="center"/>
              <w:rPr>
                <w:rFonts w:ascii="楷体_GB2312" w:eastAsia="楷体_GB2312" w:hAnsi="楷体_GB2312" w:cs="楷体_GB2312"/>
                <w:b/>
                <w:bCs/>
                <w:sz w:val="20"/>
                <w:szCs w:val="20"/>
              </w:rPr>
            </w:pPr>
            <w:r>
              <w:rPr>
                <w:rFonts w:ascii="楷体_GB2312" w:eastAsia="楷体_GB2312" w:hAnsi="楷体_GB2312" w:cs="楷体_GB2312" w:hint="eastAsia"/>
                <w:sz w:val="20"/>
                <w:szCs w:val="20"/>
              </w:rPr>
              <w:t>3.00</w:t>
            </w:r>
          </w:p>
        </w:tc>
      </w:tr>
      <w:tr w:rsidR="00F55CEE">
        <w:trPr>
          <w:trHeight w:val="340"/>
        </w:trPr>
        <w:tc>
          <w:tcPr>
            <w:tcW w:w="1011" w:type="dxa"/>
            <w:vMerge/>
            <w:vAlign w:val="center"/>
          </w:tcPr>
          <w:p w:rsidR="00F55CEE" w:rsidRDefault="00F55CEE">
            <w:pPr>
              <w:pStyle w:val="a0"/>
              <w:spacing w:after="0" w:line="360" w:lineRule="auto"/>
              <w:jc w:val="center"/>
              <w:rPr>
                <w:rFonts w:ascii="楷体_GB2312" w:eastAsia="楷体_GB2312" w:hAnsi="楷体_GB2312" w:cs="楷体_GB2312"/>
                <w:b/>
                <w:bCs/>
                <w:sz w:val="20"/>
                <w:szCs w:val="20"/>
              </w:rPr>
            </w:pPr>
          </w:p>
        </w:tc>
        <w:tc>
          <w:tcPr>
            <w:tcW w:w="2780" w:type="dxa"/>
            <w:vAlign w:val="center"/>
          </w:tcPr>
          <w:p w:rsidR="00F55CEE" w:rsidRDefault="001145CC">
            <w:pPr>
              <w:jc w:val="left"/>
              <w:rPr>
                <w:rFonts w:ascii="楷体_GB2312" w:eastAsia="楷体_GB2312" w:hAnsi="楷体_GB2312" w:cs="楷体_GB2312"/>
                <w:color w:val="000000"/>
                <w:kern w:val="0"/>
                <w:sz w:val="20"/>
                <w:szCs w:val="20"/>
                <w:lang/>
              </w:rPr>
            </w:pPr>
            <w:r>
              <w:rPr>
                <w:rFonts w:ascii="楷体_GB2312" w:eastAsia="楷体_GB2312" w:hAnsi="楷体_GB2312" w:cs="楷体_GB2312" w:hint="eastAsia"/>
                <w:bCs/>
                <w:kern w:val="0"/>
                <w:sz w:val="20"/>
                <w:szCs w:val="20"/>
              </w:rPr>
              <w:t>B202</w:t>
            </w:r>
            <w:r>
              <w:rPr>
                <w:rFonts w:ascii="楷体_GB2312" w:eastAsia="楷体_GB2312" w:hAnsi="楷体_GB2312" w:cs="楷体_GB2312" w:hint="eastAsia"/>
                <w:bCs/>
                <w:kern w:val="0"/>
                <w:sz w:val="20"/>
                <w:szCs w:val="20"/>
              </w:rPr>
              <w:t>项目资金使用率</w:t>
            </w:r>
          </w:p>
        </w:tc>
        <w:tc>
          <w:tcPr>
            <w:tcW w:w="91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6.00</w:t>
            </w:r>
          </w:p>
        </w:tc>
        <w:tc>
          <w:tcPr>
            <w:tcW w:w="82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88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32.10%</w:t>
            </w:r>
          </w:p>
        </w:tc>
        <w:tc>
          <w:tcPr>
            <w:tcW w:w="960" w:type="dxa"/>
            <w:vAlign w:val="center"/>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32.10%</w:t>
            </w:r>
          </w:p>
        </w:tc>
        <w:tc>
          <w:tcPr>
            <w:tcW w:w="990" w:type="dxa"/>
            <w:vAlign w:val="center"/>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2.00</w:t>
            </w:r>
          </w:p>
        </w:tc>
      </w:tr>
      <w:tr w:rsidR="00F55CEE">
        <w:trPr>
          <w:trHeight w:val="488"/>
        </w:trPr>
        <w:tc>
          <w:tcPr>
            <w:tcW w:w="1011" w:type="dxa"/>
            <w:vMerge/>
          </w:tcPr>
          <w:p w:rsidR="00F55CEE" w:rsidRDefault="00F55CEE">
            <w:pPr>
              <w:pStyle w:val="a0"/>
              <w:spacing w:after="0" w:line="360" w:lineRule="auto"/>
              <w:jc w:val="center"/>
              <w:rPr>
                <w:rFonts w:ascii="楷体_GB2312" w:eastAsia="楷体_GB2312" w:hAnsi="楷体_GB2312" w:cs="楷体_GB2312"/>
                <w:b/>
                <w:bCs/>
                <w:sz w:val="20"/>
                <w:szCs w:val="20"/>
              </w:rPr>
            </w:pPr>
          </w:p>
        </w:tc>
        <w:tc>
          <w:tcPr>
            <w:tcW w:w="2780" w:type="dxa"/>
            <w:vAlign w:val="center"/>
          </w:tcPr>
          <w:p w:rsidR="00F55CEE" w:rsidRDefault="001145CC">
            <w:pPr>
              <w:jc w:val="left"/>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B203</w:t>
            </w:r>
            <w:r>
              <w:rPr>
                <w:rFonts w:ascii="楷体_GB2312" w:eastAsia="楷体_GB2312" w:hAnsi="楷体_GB2312" w:cs="楷体_GB2312" w:hint="eastAsia"/>
                <w:bCs/>
                <w:kern w:val="0"/>
                <w:sz w:val="20"/>
                <w:szCs w:val="20"/>
              </w:rPr>
              <w:t>资金使用合规性</w:t>
            </w:r>
          </w:p>
        </w:tc>
        <w:tc>
          <w:tcPr>
            <w:tcW w:w="91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3.00</w:t>
            </w:r>
          </w:p>
        </w:tc>
        <w:tc>
          <w:tcPr>
            <w:tcW w:w="82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合规</w:t>
            </w:r>
          </w:p>
        </w:tc>
        <w:tc>
          <w:tcPr>
            <w:tcW w:w="880" w:type="dxa"/>
            <w:vAlign w:val="center"/>
          </w:tcPr>
          <w:p w:rsidR="00F55CEE" w:rsidRDefault="001145CC">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合规</w:t>
            </w:r>
          </w:p>
        </w:tc>
        <w:tc>
          <w:tcPr>
            <w:tcW w:w="960" w:type="dxa"/>
            <w:vAlign w:val="center"/>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3.00</w:t>
            </w:r>
          </w:p>
        </w:tc>
      </w:tr>
      <w:tr w:rsidR="00F55CEE">
        <w:trPr>
          <w:trHeight w:val="340"/>
        </w:trPr>
        <w:tc>
          <w:tcPr>
            <w:tcW w:w="1011" w:type="dxa"/>
          </w:tcPr>
          <w:p w:rsidR="00F55CEE" w:rsidRDefault="00F55CEE">
            <w:pPr>
              <w:pStyle w:val="a0"/>
              <w:spacing w:after="0" w:line="360" w:lineRule="auto"/>
              <w:jc w:val="center"/>
              <w:rPr>
                <w:rFonts w:ascii="楷体_GB2312" w:eastAsia="楷体_GB2312" w:hAnsi="楷体_GB2312" w:cs="楷体_GB2312"/>
                <w:b/>
                <w:bCs/>
                <w:sz w:val="20"/>
                <w:szCs w:val="20"/>
              </w:rPr>
            </w:pPr>
          </w:p>
        </w:tc>
        <w:tc>
          <w:tcPr>
            <w:tcW w:w="2780" w:type="dxa"/>
            <w:vAlign w:val="center"/>
          </w:tcPr>
          <w:p w:rsidR="00F55CEE" w:rsidRDefault="001145CC">
            <w:pPr>
              <w:jc w:val="center"/>
              <w:rPr>
                <w:rFonts w:ascii="楷体_GB2312" w:eastAsia="楷体_GB2312" w:hAnsi="楷体_GB2312" w:cs="楷体_GB2312"/>
                <w:b/>
                <w:kern w:val="0"/>
                <w:sz w:val="20"/>
                <w:szCs w:val="20"/>
              </w:rPr>
            </w:pPr>
            <w:r>
              <w:rPr>
                <w:rFonts w:ascii="楷体_GB2312" w:eastAsia="楷体_GB2312" w:hAnsi="楷体_GB2312" w:cs="楷体_GB2312" w:hint="eastAsia"/>
                <w:b/>
                <w:kern w:val="0"/>
                <w:sz w:val="20"/>
                <w:szCs w:val="20"/>
              </w:rPr>
              <w:t>合</w:t>
            </w:r>
            <w:r>
              <w:rPr>
                <w:rFonts w:ascii="楷体_GB2312" w:eastAsia="楷体_GB2312" w:hAnsi="楷体_GB2312" w:cs="楷体_GB2312" w:hint="eastAsia"/>
                <w:b/>
                <w:kern w:val="0"/>
                <w:sz w:val="20"/>
                <w:szCs w:val="20"/>
              </w:rPr>
              <w:t xml:space="preserve"> </w:t>
            </w:r>
            <w:r>
              <w:rPr>
                <w:rFonts w:ascii="楷体_GB2312" w:eastAsia="楷体_GB2312" w:hAnsi="楷体_GB2312" w:cs="楷体_GB2312" w:hint="eastAsia"/>
                <w:b/>
                <w:kern w:val="0"/>
                <w:sz w:val="20"/>
                <w:szCs w:val="20"/>
              </w:rPr>
              <w:t>计</w:t>
            </w:r>
          </w:p>
        </w:tc>
        <w:tc>
          <w:tcPr>
            <w:tcW w:w="910" w:type="dxa"/>
            <w:vAlign w:val="center"/>
          </w:tcPr>
          <w:p w:rsidR="00F55CEE" w:rsidRDefault="001145CC">
            <w:pPr>
              <w:widowControl/>
              <w:spacing w:line="280" w:lineRule="exact"/>
              <w:jc w:val="center"/>
              <w:textAlignment w:val="bottom"/>
              <w:rPr>
                <w:rFonts w:ascii="楷体_GB2312" w:eastAsia="楷体_GB2312" w:hAnsi="楷体_GB2312" w:cs="楷体_GB2312"/>
                <w:b/>
                <w:color w:val="000000"/>
                <w:sz w:val="20"/>
                <w:szCs w:val="20"/>
              </w:rPr>
            </w:pPr>
            <w:r>
              <w:rPr>
                <w:rFonts w:ascii="楷体_GB2312" w:eastAsia="楷体_GB2312" w:hAnsi="楷体_GB2312" w:cs="楷体_GB2312" w:hint="eastAsia"/>
                <w:b/>
                <w:color w:val="000000"/>
                <w:sz w:val="20"/>
                <w:szCs w:val="20"/>
              </w:rPr>
              <w:t>25.00</w:t>
            </w:r>
          </w:p>
        </w:tc>
        <w:tc>
          <w:tcPr>
            <w:tcW w:w="820" w:type="dxa"/>
          </w:tcPr>
          <w:p w:rsidR="00F55CEE" w:rsidRDefault="00F55CEE">
            <w:pPr>
              <w:widowControl/>
              <w:spacing w:line="280" w:lineRule="exact"/>
              <w:jc w:val="center"/>
              <w:textAlignment w:val="bottom"/>
              <w:rPr>
                <w:rFonts w:ascii="楷体_GB2312" w:eastAsia="楷体_GB2312" w:hAnsi="楷体_GB2312" w:cs="楷体_GB2312"/>
                <w:b/>
                <w:color w:val="000000"/>
                <w:sz w:val="20"/>
                <w:szCs w:val="20"/>
              </w:rPr>
            </w:pPr>
          </w:p>
        </w:tc>
        <w:tc>
          <w:tcPr>
            <w:tcW w:w="880" w:type="dxa"/>
          </w:tcPr>
          <w:p w:rsidR="00F55CEE" w:rsidRDefault="00F55CEE">
            <w:pPr>
              <w:pStyle w:val="a0"/>
              <w:spacing w:after="0" w:line="360" w:lineRule="auto"/>
              <w:jc w:val="center"/>
              <w:rPr>
                <w:rFonts w:ascii="楷体_GB2312" w:eastAsia="楷体_GB2312" w:hAnsi="楷体_GB2312" w:cs="楷体_GB2312"/>
                <w:b/>
                <w:color w:val="000000"/>
                <w:sz w:val="20"/>
                <w:szCs w:val="20"/>
              </w:rPr>
            </w:pPr>
          </w:p>
        </w:tc>
        <w:tc>
          <w:tcPr>
            <w:tcW w:w="960" w:type="dxa"/>
          </w:tcPr>
          <w:p w:rsidR="00F55CEE" w:rsidRDefault="001145CC">
            <w:pPr>
              <w:pStyle w:val="a0"/>
              <w:spacing w:after="0" w:line="360" w:lineRule="auto"/>
              <w:jc w:val="center"/>
              <w:rPr>
                <w:rFonts w:ascii="楷体_GB2312" w:eastAsia="楷体_GB2312" w:hAnsi="楷体_GB2312" w:cs="楷体_GB2312"/>
                <w:b/>
                <w:sz w:val="20"/>
                <w:szCs w:val="20"/>
              </w:rPr>
            </w:pPr>
            <w:r>
              <w:rPr>
                <w:rFonts w:ascii="楷体_GB2312" w:eastAsia="楷体_GB2312" w:hAnsi="楷体_GB2312" w:cs="楷体_GB2312" w:hint="eastAsia"/>
                <w:b/>
                <w:sz w:val="20"/>
                <w:szCs w:val="20"/>
              </w:rPr>
              <w:t>84%</w:t>
            </w:r>
          </w:p>
        </w:tc>
        <w:tc>
          <w:tcPr>
            <w:tcW w:w="990" w:type="dxa"/>
          </w:tcPr>
          <w:p w:rsidR="00F55CEE" w:rsidRDefault="001145CC">
            <w:pPr>
              <w:pStyle w:val="a0"/>
              <w:spacing w:after="0" w:line="360" w:lineRule="auto"/>
              <w:jc w:val="center"/>
              <w:rPr>
                <w:rFonts w:ascii="楷体_GB2312" w:eastAsia="楷体_GB2312" w:hAnsi="楷体_GB2312" w:cs="楷体_GB2312"/>
                <w:b/>
                <w:sz w:val="20"/>
                <w:szCs w:val="20"/>
              </w:rPr>
            </w:pPr>
            <w:r>
              <w:rPr>
                <w:rFonts w:ascii="楷体_GB2312" w:eastAsia="楷体_GB2312" w:hAnsi="楷体_GB2312" w:cs="楷体_GB2312" w:hint="eastAsia"/>
                <w:b/>
                <w:sz w:val="20"/>
                <w:szCs w:val="20"/>
              </w:rPr>
              <w:t>21.00</w:t>
            </w:r>
          </w:p>
        </w:tc>
      </w:tr>
    </w:tbl>
    <w:p w:rsidR="00F55CEE" w:rsidRDefault="001145CC">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B101</w:t>
      </w:r>
      <w:r>
        <w:rPr>
          <w:rFonts w:ascii="仿宋_GB2312" w:eastAsia="仿宋_GB2312" w:hAnsi="仿宋_GB2312" w:cs="仿宋_GB2312" w:hint="eastAsia"/>
          <w:b/>
          <w:bCs/>
          <w:sz w:val="28"/>
          <w:szCs w:val="28"/>
        </w:rPr>
        <w:t>项目管理制度健全性</w:t>
      </w:r>
      <w:r>
        <w:rPr>
          <w:rFonts w:ascii="仿宋_GB2312" w:eastAsia="仿宋_GB2312" w:hAnsi="仿宋_GB2312" w:cs="仿宋_GB2312" w:hint="eastAsia"/>
          <w:sz w:val="28"/>
          <w:szCs w:val="28"/>
        </w:rPr>
        <w:t>：该指标考察该项目是否制定健全的管理制度。</w:t>
      </w:r>
    </w:p>
    <w:p w:rsidR="00F55CEE" w:rsidRDefault="001145CC">
      <w:pPr>
        <w:pStyle w:val="a0"/>
        <w:spacing w:after="0" w:line="360" w:lineRule="auto"/>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为全面协调各有关部门共同完成黎城县“十三五”期间三大板块旅游公路建设项目，由县交通局牵头，多次召开相关现场会和推进会</w:t>
      </w:r>
      <w:r>
        <w:rPr>
          <w:rFonts w:ascii="仿宋_GB2312" w:eastAsia="仿宋_GB2312" w:hAnsi="仿宋_GB2312" w:cs="仿宋_GB2312" w:hint="eastAsia"/>
          <w:sz w:val="28"/>
          <w:szCs w:val="28"/>
        </w:rPr>
        <w:lastRenderedPageBreak/>
        <w:t>进行讨论，建立了月汇报、季汇报的工作机制。在资金使用方面，采用《基建财务管理制度》、《黎城县交通运输局财务监督管理制度》、《专项资金管理办法》等制度，加强资金规范管理工作。成立自我督察小组，对项目实施情况进行监督检查，</w:t>
      </w:r>
      <w:r>
        <w:rPr>
          <w:rFonts w:ascii="仿宋_GB2312" w:eastAsia="仿宋_GB2312" w:hAnsi="仿宋_GB2312" w:cs="仿宋_GB2312" w:hint="eastAsia"/>
          <w:sz w:val="28"/>
          <w:szCs w:val="28"/>
        </w:rPr>
        <w:t>由施工单位、监理单位、建设单位‘三方’组成，定期对工程进度进行测量、把控质量，出具计量审批传递单、支付月报表、工程进度表、中期支付证书、清单支付月报表等。</w:t>
      </w:r>
      <w:r>
        <w:rPr>
          <w:rFonts w:ascii="仿宋_GB2312" w:eastAsia="仿宋_GB2312" w:hAnsi="仿宋_GB2312" w:cs="仿宋_GB2312" w:hint="eastAsia"/>
          <w:sz w:val="28"/>
          <w:szCs w:val="28"/>
        </w:rPr>
        <w:t>年底对各项目单位进行综合考核</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项目制度健全，管理制度合理、合规、完整，该指标得满分。</w:t>
      </w:r>
    </w:p>
    <w:p w:rsidR="00F55CEE" w:rsidRDefault="001145CC">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B102</w:t>
      </w:r>
      <w:r>
        <w:rPr>
          <w:rFonts w:ascii="仿宋_GB2312" w:eastAsia="仿宋_GB2312" w:hAnsi="仿宋_GB2312" w:cs="仿宋_GB2312" w:hint="eastAsia"/>
          <w:b/>
          <w:bCs/>
          <w:sz w:val="28"/>
          <w:szCs w:val="28"/>
        </w:rPr>
        <w:t>项目招标合规性</w:t>
      </w:r>
      <w:r>
        <w:rPr>
          <w:rFonts w:ascii="仿宋_GB2312" w:eastAsia="仿宋_GB2312" w:hAnsi="仿宋_GB2312" w:cs="仿宋_GB2312" w:hint="eastAsia"/>
          <w:sz w:val="28"/>
          <w:szCs w:val="28"/>
        </w:rPr>
        <w:t>：该指标</w:t>
      </w:r>
      <w:r>
        <w:rPr>
          <w:rFonts w:ascii="仿宋_GB2312" w:eastAsia="仿宋_GB2312" w:hAnsi="仿宋_GB2312" w:cs="仿宋_GB2312" w:hint="eastAsia"/>
          <w:sz w:val="28"/>
          <w:szCs w:val="28"/>
        </w:rPr>
        <w:t>考察项目</w:t>
      </w:r>
      <w:r>
        <w:rPr>
          <w:rFonts w:ascii="仿宋_GB2312" w:eastAsia="仿宋_GB2312" w:hAnsi="仿宋_GB2312" w:cs="仿宋_GB2312" w:hint="eastAsia"/>
          <w:sz w:val="28"/>
          <w:szCs w:val="28"/>
        </w:rPr>
        <w:t>是否通过招投标形式实施。</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项目应当通过公开招投标的方式选择。三大板块旅游公路建设资金项目在确立建设后，由黎城县交通局在山西政府采购网发布招标公告，</w:t>
      </w:r>
      <w:r>
        <w:rPr>
          <w:rFonts w:ascii="仿宋_GB2312" w:eastAsia="仿宋_GB2312" w:hAnsi="仿宋_GB2312" w:cs="仿宋_GB2312" w:hint="eastAsia"/>
          <w:sz w:val="28"/>
          <w:szCs w:val="28"/>
        </w:rPr>
        <w:t>山西亿承建设工程有限公司、河南恒通公路桥梁建设有限公司、河南锦达建设有限公司、山西路桥建</w:t>
      </w:r>
      <w:r>
        <w:rPr>
          <w:rFonts w:ascii="仿宋_GB2312" w:eastAsia="仿宋_GB2312" w:hAnsi="仿宋_GB2312" w:cs="仿宋_GB2312" w:hint="eastAsia"/>
          <w:sz w:val="28"/>
          <w:szCs w:val="28"/>
        </w:rPr>
        <w:t>设集团有限公司、河南锦达建设有限公司、林州市顺鑫建筑有限公司中标为项目各路段建设方。项目的勘察、设计、监理均由黎城县交通局通过公开招标的形式确定，该项指标得满分</w:t>
      </w:r>
      <w:r>
        <w:rPr>
          <w:rFonts w:ascii="仿宋_GB2312" w:eastAsia="仿宋_GB2312" w:hAnsi="仿宋_GB2312" w:cs="仿宋_GB2312" w:hint="eastAsia"/>
          <w:sz w:val="28"/>
          <w:szCs w:val="28"/>
        </w:rPr>
        <w:t>。</w:t>
      </w:r>
    </w:p>
    <w:p w:rsidR="00F55CEE" w:rsidRDefault="001145CC">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B1</w:t>
      </w:r>
      <w:r>
        <w:rPr>
          <w:rFonts w:ascii="仿宋_GB2312" w:eastAsia="仿宋_GB2312" w:hAnsi="仿宋_GB2312" w:cs="仿宋_GB2312" w:hint="eastAsia"/>
          <w:b/>
          <w:bCs/>
          <w:sz w:val="28"/>
          <w:szCs w:val="28"/>
        </w:rPr>
        <w:t>03</w:t>
      </w:r>
      <w:r>
        <w:rPr>
          <w:rFonts w:ascii="仿宋_GB2312" w:eastAsia="仿宋_GB2312" w:hAnsi="仿宋_GB2312" w:cs="仿宋_GB2312" w:hint="eastAsia"/>
          <w:b/>
          <w:bCs/>
          <w:sz w:val="28"/>
          <w:szCs w:val="28"/>
        </w:rPr>
        <w:t>项目变更程序规范性</w:t>
      </w:r>
      <w:r>
        <w:rPr>
          <w:rFonts w:ascii="仿宋_GB2312" w:eastAsia="仿宋_GB2312" w:hAnsi="仿宋_GB2312" w:cs="仿宋_GB2312" w:hint="eastAsia"/>
          <w:sz w:val="28"/>
          <w:szCs w:val="28"/>
        </w:rPr>
        <w:t>：该指标考察项目的实施过程中是否变更方案，变更手续是否合规。</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评价组经过检查交通局的项目资料发现，三大板块旅游公路实施期间有变更部分路段的工程项目名称，由黎城县交通运输局向黎城县行政审批服务管理局提交相关请示，县行政审批服务管理局依据相关</w:t>
      </w:r>
      <w:r>
        <w:rPr>
          <w:rFonts w:ascii="仿宋_GB2312" w:eastAsia="仿宋_GB2312" w:hAnsi="仿宋_GB2312" w:cs="仿宋_GB2312" w:hint="eastAsia"/>
          <w:sz w:val="28"/>
          <w:szCs w:val="28"/>
        </w:rPr>
        <w:lastRenderedPageBreak/>
        <w:t>文件对其进行答复。项目在整个实施过程中手续齐全、依据充分、程序得当合规，该项指标得满</w:t>
      </w:r>
      <w:r>
        <w:rPr>
          <w:rFonts w:ascii="仿宋_GB2312" w:eastAsia="仿宋_GB2312" w:hAnsi="仿宋_GB2312" w:cs="仿宋_GB2312" w:hint="eastAsia"/>
          <w:sz w:val="28"/>
          <w:szCs w:val="28"/>
        </w:rPr>
        <w:t>分。</w:t>
      </w:r>
    </w:p>
    <w:p w:rsidR="00F55CEE" w:rsidRDefault="001145CC">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B104</w:t>
      </w:r>
      <w:r>
        <w:rPr>
          <w:rFonts w:ascii="仿宋_GB2312" w:eastAsia="仿宋_GB2312" w:hAnsi="仿宋_GB2312" w:cs="仿宋_GB2312" w:hint="eastAsia"/>
          <w:b/>
          <w:bCs/>
          <w:sz w:val="28"/>
          <w:szCs w:val="28"/>
        </w:rPr>
        <w:t>项目监理规范性：</w:t>
      </w:r>
      <w:r>
        <w:rPr>
          <w:rFonts w:ascii="仿宋_GB2312" w:eastAsia="仿宋_GB2312" w:hAnsi="仿宋_GB2312" w:cs="仿宋_GB2312" w:hint="eastAsia"/>
          <w:sz w:val="28"/>
          <w:szCs w:val="28"/>
        </w:rPr>
        <w:t>考察项目单位对该项目是否签订监理合同，监理在项目施工过程中职责履行情况。</w:t>
      </w:r>
    </w:p>
    <w:p w:rsidR="00F55CEE" w:rsidRDefault="001145CC">
      <w:pPr>
        <w:pStyle w:val="a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交通局与山西正达通畅建设工程监理有限公司（港东</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白岩寺段）、河南社诚工程监理有限公司（北泉寨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后家滩段）、河南晟源路桥工程管理有限公司（杨家庄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龙洞段）、山西昕路远建设工程监理有限公司（西井</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板山段）签订监理合同，分别对三大板块旅游公路建设资金项目进行监理。监理公司出具了日常的监理日志及其相关的监理报告且在支付工程款时及时出具相关监理意见，监理制度履行规范。该指标得满分。</w:t>
      </w:r>
    </w:p>
    <w:p w:rsidR="00F55CEE" w:rsidRDefault="001145CC">
      <w:pPr>
        <w:pStyle w:val="a9"/>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B201</w:t>
      </w:r>
      <w:r>
        <w:rPr>
          <w:rFonts w:ascii="仿宋_GB2312" w:eastAsia="仿宋_GB2312" w:hAnsi="仿宋_GB2312" w:cs="仿宋_GB2312" w:hint="eastAsia"/>
          <w:b/>
          <w:bCs/>
          <w:kern w:val="2"/>
          <w:sz w:val="28"/>
          <w:szCs w:val="28"/>
        </w:rPr>
        <w:t>项目资金到位率</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该指标考察</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年三大板块旅游公路建设资金项目资金到位情况。</w:t>
      </w:r>
    </w:p>
    <w:p w:rsidR="00F55CEE" w:rsidRDefault="001145CC">
      <w:pPr>
        <w:pStyle w:val="a9"/>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年预算省级配套资金应到位</w:t>
      </w:r>
      <w:r>
        <w:rPr>
          <w:rFonts w:ascii="仿宋_GB2312" w:eastAsia="仿宋_GB2312" w:hAnsi="仿宋_GB2312" w:cs="仿宋_GB2312" w:hint="eastAsia"/>
          <w:kern w:val="2"/>
          <w:sz w:val="28"/>
          <w:szCs w:val="28"/>
        </w:rPr>
        <w:t>3263</w:t>
      </w:r>
      <w:r>
        <w:rPr>
          <w:rFonts w:ascii="仿宋_GB2312" w:eastAsia="仿宋_GB2312" w:hAnsi="仿宋_GB2312" w:cs="仿宋_GB2312" w:hint="eastAsia"/>
          <w:kern w:val="2"/>
          <w:sz w:val="28"/>
          <w:szCs w:val="28"/>
        </w:rPr>
        <w:t>万元，根据《长治市财政局关于提前下达</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年交通建设项目资金（第一批）支出预算的通知》（长财建一〔</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5</w:t>
      </w:r>
      <w:r>
        <w:rPr>
          <w:rFonts w:ascii="仿宋_GB2312" w:eastAsia="仿宋_GB2312" w:hAnsi="仿宋_GB2312" w:cs="仿宋_GB2312" w:hint="eastAsia"/>
          <w:kern w:val="2"/>
          <w:sz w:val="28"/>
          <w:szCs w:val="28"/>
        </w:rPr>
        <w:t>号）文件实际到位资金</w:t>
      </w:r>
      <w:r>
        <w:rPr>
          <w:rFonts w:ascii="仿宋_GB2312" w:eastAsia="仿宋_GB2312" w:hAnsi="仿宋_GB2312" w:cs="仿宋_GB2312" w:hint="eastAsia"/>
          <w:kern w:val="2"/>
          <w:sz w:val="28"/>
          <w:szCs w:val="28"/>
        </w:rPr>
        <w:t>3263</w:t>
      </w:r>
      <w:r>
        <w:rPr>
          <w:rFonts w:ascii="仿宋_GB2312" w:eastAsia="仿宋_GB2312" w:hAnsi="仿宋_GB2312" w:cs="仿宋_GB2312" w:hint="eastAsia"/>
          <w:kern w:val="2"/>
          <w:sz w:val="28"/>
          <w:szCs w:val="28"/>
        </w:rPr>
        <w:t>万元。</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年预算市级财政补助资金应到位</w:t>
      </w:r>
      <w:r>
        <w:rPr>
          <w:rFonts w:ascii="仿宋_GB2312" w:eastAsia="仿宋_GB2312" w:hAnsi="仿宋_GB2312" w:cs="仿宋_GB2312" w:hint="eastAsia"/>
          <w:kern w:val="2"/>
          <w:sz w:val="28"/>
          <w:szCs w:val="28"/>
        </w:rPr>
        <w:t>1105</w:t>
      </w:r>
      <w:r>
        <w:rPr>
          <w:rFonts w:ascii="仿宋_GB2312" w:eastAsia="仿宋_GB2312" w:hAnsi="仿宋_GB2312" w:cs="仿宋_GB2312" w:hint="eastAsia"/>
          <w:kern w:val="2"/>
          <w:sz w:val="28"/>
          <w:szCs w:val="28"/>
        </w:rPr>
        <w:t>万元，依据《长治市财政局关于下达农村公路建设项目市级补助资金的通知》（长财建一〔</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83</w:t>
      </w:r>
      <w:r>
        <w:rPr>
          <w:rFonts w:ascii="仿宋_GB2312" w:eastAsia="仿宋_GB2312" w:hAnsi="仿宋_GB2312" w:cs="仿宋_GB2312" w:hint="eastAsia"/>
          <w:kern w:val="2"/>
          <w:sz w:val="28"/>
          <w:szCs w:val="28"/>
        </w:rPr>
        <w:t>号）文件黎城县交通局收到</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年市财政补助资金</w:t>
      </w:r>
      <w:r>
        <w:rPr>
          <w:rFonts w:ascii="仿宋_GB2312" w:eastAsia="仿宋_GB2312" w:hAnsi="仿宋_GB2312" w:cs="仿宋_GB2312" w:hint="eastAsia"/>
          <w:kern w:val="2"/>
          <w:sz w:val="28"/>
          <w:szCs w:val="28"/>
        </w:rPr>
        <w:t>1105</w:t>
      </w:r>
      <w:r>
        <w:rPr>
          <w:rFonts w:ascii="仿宋_GB2312" w:eastAsia="仿宋_GB2312" w:hAnsi="仿宋_GB2312" w:cs="仿宋_GB2312" w:hint="eastAsia"/>
          <w:kern w:val="2"/>
          <w:sz w:val="28"/>
          <w:szCs w:val="28"/>
        </w:rPr>
        <w:t>万元。</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年财政补助资金到位率</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4368/4368</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*100%=100%</w:t>
      </w:r>
      <w:r>
        <w:rPr>
          <w:rFonts w:ascii="仿宋_GB2312" w:eastAsia="仿宋_GB2312" w:hAnsi="仿宋_GB2312" w:cs="仿宋_GB2312" w:hint="eastAsia"/>
          <w:kern w:val="2"/>
          <w:sz w:val="28"/>
          <w:szCs w:val="28"/>
        </w:rPr>
        <w:t>。该指标得满分。</w:t>
      </w:r>
    </w:p>
    <w:p w:rsidR="00F55CEE" w:rsidRDefault="001145CC">
      <w:pPr>
        <w:pStyle w:val="a9"/>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B202</w:t>
      </w:r>
      <w:r>
        <w:rPr>
          <w:rFonts w:ascii="仿宋_GB2312" w:eastAsia="仿宋_GB2312" w:hAnsi="仿宋_GB2312" w:cs="仿宋_GB2312" w:hint="eastAsia"/>
          <w:b/>
          <w:bCs/>
          <w:kern w:val="2"/>
          <w:sz w:val="28"/>
          <w:szCs w:val="28"/>
        </w:rPr>
        <w:t>项目资金使用率</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该指标考察财</w:t>
      </w:r>
      <w:r>
        <w:rPr>
          <w:rFonts w:ascii="仿宋_GB2312" w:eastAsia="仿宋_GB2312" w:hAnsi="仿宋_GB2312" w:cs="仿宋_GB2312" w:hint="eastAsia"/>
          <w:sz w:val="28"/>
          <w:szCs w:val="28"/>
        </w:rPr>
        <w:t>政投入资金使用情况。</w:t>
      </w:r>
    </w:p>
    <w:p w:rsidR="00F55CEE" w:rsidRDefault="001145CC">
      <w:pPr>
        <w:pStyle w:val="a9"/>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sz w:val="28"/>
          <w:szCs w:val="28"/>
        </w:rPr>
        <w:lastRenderedPageBreak/>
        <w:t>评价组经过检查交通局财务资料，截至</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31</w:t>
      </w:r>
      <w:r>
        <w:rPr>
          <w:rFonts w:ascii="仿宋_GB2312" w:eastAsia="仿宋_GB2312" w:hAnsi="仿宋_GB2312" w:cs="仿宋_GB2312" w:hint="eastAsia"/>
          <w:sz w:val="28"/>
          <w:szCs w:val="28"/>
        </w:rPr>
        <w:t>日，省一般预算出资的金额</w:t>
      </w:r>
      <w:r>
        <w:rPr>
          <w:rFonts w:ascii="仿宋_GB2312" w:eastAsia="仿宋_GB2312" w:hAnsi="仿宋_GB2312" w:cs="仿宋_GB2312" w:hint="eastAsia"/>
          <w:sz w:val="28"/>
          <w:szCs w:val="28"/>
        </w:rPr>
        <w:t>3263</w:t>
      </w:r>
      <w:r>
        <w:rPr>
          <w:rFonts w:ascii="仿宋_GB2312" w:eastAsia="仿宋_GB2312" w:hAnsi="仿宋_GB2312" w:cs="仿宋_GB2312" w:hint="eastAsia"/>
          <w:sz w:val="28"/>
          <w:szCs w:val="28"/>
        </w:rPr>
        <w:t>万元共使用</w:t>
      </w:r>
      <w:r>
        <w:rPr>
          <w:rFonts w:ascii="仿宋_GB2312" w:eastAsia="仿宋_GB2312" w:hAnsi="仿宋_GB2312" w:cs="仿宋_GB2312" w:hint="eastAsia"/>
          <w:sz w:val="28"/>
          <w:szCs w:val="28"/>
        </w:rPr>
        <w:t>1110.7</w:t>
      </w:r>
      <w:r>
        <w:rPr>
          <w:rFonts w:ascii="仿宋_GB2312" w:eastAsia="仿宋_GB2312" w:hAnsi="仿宋_GB2312" w:cs="仿宋_GB2312" w:hint="eastAsia"/>
          <w:sz w:val="28"/>
          <w:szCs w:val="28"/>
        </w:rPr>
        <w:t>万元，项目财政资金使用率</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1110.7/3263</w:t>
      </w:r>
      <w:r>
        <w:rPr>
          <w:rFonts w:ascii="仿宋_GB2312" w:eastAsia="仿宋_GB2312" w:hAnsi="仿宋_GB2312" w:cs="仿宋_GB2312" w:hint="eastAsia"/>
          <w:sz w:val="28"/>
          <w:szCs w:val="28"/>
        </w:rPr>
        <w:t>）</w:t>
      </w:r>
      <w:r>
        <w:rPr>
          <w:rFonts w:ascii="仿宋_GB2312" w:eastAsia="仿宋_GB2312" w:hAnsi="仿宋_GB2312" w:cs="仿宋_GB2312" w:hint="eastAsia"/>
          <w:kern w:val="2"/>
          <w:sz w:val="28"/>
          <w:szCs w:val="28"/>
        </w:rPr>
        <w:t>*100%=34.04%</w:t>
      </w:r>
      <w:r>
        <w:rPr>
          <w:rFonts w:ascii="仿宋_GB2312" w:eastAsia="仿宋_GB2312" w:hAnsi="仿宋_GB2312" w:cs="仿宋_GB2312" w:hint="eastAsia"/>
          <w:kern w:val="2"/>
          <w:sz w:val="28"/>
          <w:szCs w:val="28"/>
        </w:rPr>
        <w:t>；市</w:t>
      </w:r>
      <w:r>
        <w:rPr>
          <w:rFonts w:ascii="仿宋_GB2312" w:eastAsia="仿宋_GB2312" w:hAnsi="仿宋_GB2312" w:cs="仿宋_GB2312" w:hint="eastAsia"/>
          <w:sz w:val="28"/>
          <w:szCs w:val="28"/>
        </w:rPr>
        <w:t>一般预算出资的金额</w:t>
      </w:r>
      <w:r>
        <w:rPr>
          <w:rFonts w:ascii="仿宋_GB2312" w:eastAsia="仿宋_GB2312" w:hAnsi="仿宋_GB2312" w:cs="仿宋_GB2312" w:hint="eastAsia"/>
          <w:sz w:val="28"/>
          <w:szCs w:val="28"/>
        </w:rPr>
        <w:t>1105</w:t>
      </w:r>
      <w:r>
        <w:rPr>
          <w:rFonts w:ascii="仿宋_GB2312" w:eastAsia="仿宋_GB2312" w:hAnsi="仿宋_GB2312" w:cs="仿宋_GB2312" w:hint="eastAsia"/>
          <w:sz w:val="28"/>
          <w:szCs w:val="28"/>
        </w:rPr>
        <w:t>万元共使用</w:t>
      </w:r>
      <w:r>
        <w:rPr>
          <w:rFonts w:ascii="仿宋_GB2312" w:eastAsia="仿宋_GB2312" w:hAnsi="仿宋_GB2312" w:cs="仿宋_GB2312" w:hint="eastAsia"/>
          <w:sz w:val="28"/>
          <w:szCs w:val="28"/>
        </w:rPr>
        <w:t>291.5</w:t>
      </w:r>
      <w:r>
        <w:rPr>
          <w:rFonts w:ascii="仿宋_GB2312" w:eastAsia="仿宋_GB2312" w:hAnsi="仿宋_GB2312" w:cs="仿宋_GB2312" w:hint="eastAsia"/>
          <w:sz w:val="28"/>
          <w:szCs w:val="28"/>
        </w:rPr>
        <w:t>万元，项目财政资金使用率</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291.5/1105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r>
        <w:rPr>
          <w:rFonts w:ascii="仿宋_GB2312" w:eastAsia="仿宋_GB2312" w:hAnsi="仿宋_GB2312" w:cs="仿宋_GB2312" w:hint="eastAsia"/>
          <w:kern w:val="2"/>
          <w:sz w:val="28"/>
          <w:szCs w:val="28"/>
        </w:rPr>
        <w:t>100%=26.38%</w:t>
      </w:r>
      <w:r>
        <w:rPr>
          <w:rFonts w:ascii="仿宋_GB2312" w:eastAsia="仿宋_GB2312" w:hAnsi="仿宋_GB2312" w:cs="仿宋_GB2312" w:hint="eastAsia"/>
          <w:kern w:val="2"/>
          <w:sz w:val="28"/>
          <w:szCs w:val="28"/>
        </w:rPr>
        <w:t>。该指标得</w:t>
      </w:r>
      <w:r>
        <w:rPr>
          <w:rFonts w:ascii="仿宋_GB2312" w:eastAsia="仿宋_GB2312" w:hAnsi="仿宋_GB2312" w:cs="仿宋_GB2312" w:hint="eastAsia"/>
          <w:kern w:val="2"/>
          <w:sz w:val="28"/>
          <w:szCs w:val="28"/>
        </w:rPr>
        <w:t>2</w:t>
      </w:r>
      <w:r>
        <w:rPr>
          <w:rFonts w:ascii="仿宋_GB2312" w:eastAsia="仿宋_GB2312" w:hAnsi="仿宋_GB2312" w:cs="仿宋_GB2312" w:hint="eastAsia"/>
          <w:kern w:val="2"/>
          <w:sz w:val="28"/>
          <w:szCs w:val="28"/>
        </w:rPr>
        <w:t>分。</w:t>
      </w:r>
    </w:p>
    <w:tbl>
      <w:tblPr>
        <w:tblStyle w:val="aa"/>
        <w:tblW w:w="0" w:type="auto"/>
        <w:tblInd w:w="141" w:type="dxa"/>
        <w:tblLook w:val="04A0"/>
      </w:tblPr>
      <w:tblGrid>
        <w:gridCol w:w="2354"/>
        <w:gridCol w:w="3142"/>
        <w:gridCol w:w="2655"/>
      </w:tblGrid>
      <w:tr w:rsidR="00F55CEE">
        <w:tc>
          <w:tcPr>
            <w:tcW w:w="8151" w:type="dxa"/>
            <w:gridSpan w:val="3"/>
            <w:tcBorders>
              <w:top w:val="nil"/>
              <w:left w:val="nil"/>
              <w:bottom w:val="single" w:sz="4" w:space="0" w:color="auto"/>
              <w:right w:val="nil"/>
            </w:tcBorders>
          </w:tcPr>
          <w:p w:rsidR="00F55CEE" w:rsidRDefault="001145CC">
            <w:pPr>
              <w:pStyle w:val="a0"/>
              <w:spacing w:after="0" w:line="360" w:lineRule="auto"/>
              <w:jc w:val="center"/>
              <w:rPr>
                <w:rFonts w:ascii="楷体_GB2312" w:eastAsia="楷体_GB2312" w:hAnsi="楷体_GB2312" w:cs="楷体_GB2312"/>
                <w:sz w:val="24"/>
              </w:rPr>
            </w:pPr>
            <w:r>
              <w:rPr>
                <w:rFonts w:ascii="仿宋_GB2312" w:eastAsia="仿宋_GB2312" w:hAnsi="仿宋_GB2312" w:cs="仿宋_GB2312" w:hint="eastAsia"/>
                <w:sz w:val="24"/>
              </w:rPr>
              <w:t>表</w:t>
            </w:r>
            <w:r>
              <w:rPr>
                <w:rFonts w:ascii="仿宋_GB2312" w:eastAsia="仿宋_GB2312" w:hAnsi="仿宋_GB2312" w:cs="仿宋_GB2312" w:hint="eastAsia"/>
                <w:sz w:val="24"/>
              </w:rPr>
              <w:t>3-4</w:t>
            </w:r>
            <w:r>
              <w:rPr>
                <w:rFonts w:ascii="仿宋_GB2312" w:eastAsia="仿宋_GB2312" w:hAnsi="仿宋_GB2312" w:cs="仿宋_GB2312" w:hint="eastAsia"/>
                <w:sz w:val="24"/>
              </w:rPr>
              <w:t>：</w:t>
            </w:r>
            <w:r>
              <w:rPr>
                <w:rFonts w:ascii="仿宋_GB2312" w:eastAsia="仿宋_GB2312" w:hAnsi="仿宋_GB2312" w:cs="仿宋_GB2312" w:hint="eastAsia"/>
                <w:sz w:val="24"/>
              </w:rPr>
              <w:t>2020</w:t>
            </w:r>
            <w:r>
              <w:rPr>
                <w:rFonts w:ascii="仿宋_GB2312" w:eastAsia="仿宋_GB2312" w:hAnsi="仿宋_GB2312" w:cs="仿宋_GB2312" w:hint="eastAsia"/>
                <w:sz w:val="24"/>
              </w:rPr>
              <w:t>年省级财政补助资金使用情况表</w:t>
            </w:r>
          </w:p>
        </w:tc>
      </w:tr>
      <w:tr w:rsidR="00F55CEE">
        <w:trPr>
          <w:trHeight w:val="340"/>
        </w:trPr>
        <w:tc>
          <w:tcPr>
            <w:tcW w:w="2354" w:type="dxa"/>
            <w:tcBorders>
              <w:top w:val="single" w:sz="4" w:space="0" w:color="auto"/>
            </w:tcBorders>
            <w:shd w:val="clear" w:color="auto" w:fill="BFBFBF" w:themeFill="background1" w:themeFillShade="BF"/>
            <w:vAlign w:val="bottom"/>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路段</w:t>
            </w:r>
          </w:p>
        </w:tc>
        <w:tc>
          <w:tcPr>
            <w:tcW w:w="3142" w:type="dxa"/>
            <w:tcBorders>
              <w:top w:val="single" w:sz="4" w:space="0" w:color="auto"/>
            </w:tcBorders>
            <w:shd w:val="clear" w:color="auto" w:fill="BFBFBF" w:themeFill="background1" w:themeFillShade="BF"/>
            <w:vAlign w:val="bottom"/>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项目支出内容</w:t>
            </w:r>
          </w:p>
        </w:tc>
        <w:tc>
          <w:tcPr>
            <w:tcW w:w="2655" w:type="dxa"/>
            <w:tcBorders>
              <w:top w:val="single" w:sz="4" w:space="0" w:color="auto"/>
            </w:tcBorders>
            <w:shd w:val="clear" w:color="auto" w:fill="BFBFBF" w:themeFill="background1" w:themeFillShade="BF"/>
            <w:vAlign w:val="bottom"/>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金额（元）</w:t>
            </w:r>
          </w:p>
        </w:tc>
      </w:tr>
      <w:tr w:rsidR="00F55CEE">
        <w:trPr>
          <w:trHeight w:val="454"/>
        </w:trPr>
        <w:tc>
          <w:tcPr>
            <w:tcW w:w="2354"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4"/>
                <w:lang/>
              </w:rPr>
              <w:t>港东</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白岩寺</w:t>
            </w:r>
          </w:p>
        </w:tc>
        <w:tc>
          <w:tcPr>
            <w:tcW w:w="3142"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0"/>
                <w:szCs w:val="20"/>
                <w:lang/>
              </w:rPr>
              <w:t>工程款</w:t>
            </w:r>
          </w:p>
        </w:tc>
        <w:tc>
          <w:tcPr>
            <w:tcW w:w="2655"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0"/>
                <w:szCs w:val="20"/>
                <w:lang/>
              </w:rPr>
              <w:t xml:space="preserve">1,660,000.00 </w:t>
            </w:r>
          </w:p>
        </w:tc>
      </w:tr>
      <w:tr w:rsidR="00F55CEE">
        <w:trPr>
          <w:trHeight w:val="454"/>
        </w:trPr>
        <w:tc>
          <w:tcPr>
            <w:tcW w:w="2354" w:type="dxa"/>
            <w:vMerge w:val="restart"/>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4"/>
                <w:lang/>
              </w:rPr>
              <w:t>北泉寨</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后家滩</w:t>
            </w:r>
          </w:p>
        </w:tc>
        <w:tc>
          <w:tcPr>
            <w:tcW w:w="3142"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0"/>
                <w:szCs w:val="20"/>
                <w:lang/>
              </w:rPr>
              <w:t>第一标工程款</w:t>
            </w:r>
          </w:p>
        </w:tc>
        <w:tc>
          <w:tcPr>
            <w:tcW w:w="2655"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0"/>
                <w:szCs w:val="20"/>
                <w:lang/>
              </w:rPr>
              <w:t xml:space="preserve">2,832,000.00 </w:t>
            </w:r>
          </w:p>
        </w:tc>
      </w:tr>
      <w:tr w:rsidR="00F55CEE">
        <w:trPr>
          <w:trHeight w:val="454"/>
        </w:trPr>
        <w:tc>
          <w:tcPr>
            <w:tcW w:w="2354" w:type="dxa"/>
            <w:vMerge/>
            <w:vAlign w:val="center"/>
          </w:tcPr>
          <w:p w:rsidR="00F55CEE" w:rsidRDefault="00F55CEE">
            <w:pPr>
              <w:jc w:val="center"/>
              <w:rPr>
                <w:rFonts w:ascii="楷体_GB2312" w:eastAsia="楷体_GB2312" w:hAnsi="楷体_GB2312" w:cs="楷体_GB2312"/>
                <w:sz w:val="20"/>
                <w:szCs w:val="20"/>
              </w:rPr>
            </w:pPr>
          </w:p>
        </w:tc>
        <w:tc>
          <w:tcPr>
            <w:tcW w:w="3142"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0"/>
                <w:szCs w:val="20"/>
                <w:lang/>
              </w:rPr>
              <w:t>第二标工程款</w:t>
            </w:r>
          </w:p>
        </w:tc>
        <w:tc>
          <w:tcPr>
            <w:tcW w:w="2655"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0"/>
                <w:szCs w:val="20"/>
                <w:lang/>
              </w:rPr>
              <w:t xml:space="preserve">6,205,000.00 </w:t>
            </w:r>
          </w:p>
        </w:tc>
      </w:tr>
      <w:tr w:rsidR="00F55CEE">
        <w:trPr>
          <w:trHeight w:val="454"/>
        </w:trPr>
        <w:tc>
          <w:tcPr>
            <w:tcW w:w="2354"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4"/>
                <w:lang/>
              </w:rPr>
              <w:t>杨家庄</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龙洞</w:t>
            </w:r>
          </w:p>
        </w:tc>
        <w:tc>
          <w:tcPr>
            <w:tcW w:w="3142"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0"/>
                <w:szCs w:val="20"/>
                <w:lang/>
              </w:rPr>
              <w:t>工程款</w:t>
            </w:r>
          </w:p>
        </w:tc>
        <w:tc>
          <w:tcPr>
            <w:tcW w:w="2655" w:type="dxa"/>
            <w:vAlign w:val="center"/>
          </w:tcPr>
          <w:p w:rsidR="00F55CEE" w:rsidRDefault="001145CC">
            <w:pPr>
              <w:widowControl/>
              <w:jc w:val="center"/>
              <w:textAlignment w:val="center"/>
              <w:rPr>
                <w:rFonts w:ascii="楷体_GB2312" w:eastAsia="楷体_GB2312" w:hAnsi="楷体_GB2312" w:cs="楷体_GB2312"/>
                <w:sz w:val="20"/>
                <w:szCs w:val="20"/>
              </w:rPr>
            </w:pPr>
            <w:r>
              <w:rPr>
                <w:rFonts w:ascii="楷体_GB2312" w:eastAsia="楷体_GB2312" w:hAnsi="宋体" w:cs="楷体_GB2312"/>
                <w:color w:val="000000"/>
                <w:kern w:val="0"/>
                <w:sz w:val="20"/>
                <w:szCs w:val="20"/>
                <w:lang/>
              </w:rPr>
              <w:t xml:space="preserve">410,000.00 </w:t>
            </w:r>
          </w:p>
        </w:tc>
      </w:tr>
      <w:tr w:rsidR="00F55CEE">
        <w:trPr>
          <w:trHeight w:val="454"/>
        </w:trPr>
        <w:tc>
          <w:tcPr>
            <w:tcW w:w="5496" w:type="dxa"/>
            <w:gridSpan w:val="2"/>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合</w:t>
            </w:r>
            <w:r>
              <w:rPr>
                <w:rFonts w:ascii="楷体_GB2312" w:eastAsia="楷体_GB2312" w:hAnsi="楷体_GB2312" w:cs="楷体_GB2312" w:hint="eastAsia"/>
                <w:sz w:val="20"/>
                <w:szCs w:val="20"/>
              </w:rPr>
              <w:t xml:space="preserve">  </w:t>
            </w:r>
            <w:r>
              <w:rPr>
                <w:rFonts w:ascii="楷体_GB2312" w:eastAsia="楷体_GB2312" w:hAnsi="楷体_GB2312" w:cs="楷体_GB2312" w:hint="eastAsia"/>
                <w:sz w:val="20"/>
                <w:szCs w:val="20"/>
              </w:rPr>
              <w:t>计</w:t>
            </w:r>
          </w:p>
        </w:tc>
        <w:tc>
          <w:tcPr>
            <w:tcW w:w="2655" w:type="dxa"/>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11,107,000.00</w:t>
            </w:r>
          </w:p>
        </w:tc>
      </w:tr>
      <w:tr w:rsidR="00F55CEE">
        <w:tc>
          <w:tcPr>
            <w:tcW w:w="8151" w:type="dxa"/>
            <w:gridSpan w:val="3"/>
            <w:tcBorders>
              <w:top w:val="nil"/>
              <w:left w:val="nil"/>
              <w:bottom w:val="single" w:sz="4" w:space="0" w:color="auto"/>
              <w:right w:val="nil"/>
            </w:tcBorders>
          </w:tcPr>
          <w:p w:rsidR="00F55CEE" w:rsidRDefault="00F55CEE">
            <w:pPr>
              <w:pStyle w:val="a0"/>
              <w:spacing w:after="0" w:line="360" w:lineRule="auto"/>
              <w:jc w:val="center"/>
              <w:rPr>
                <w:rFonts w:ascii="仿宋_GB2312" w:eastAsia="仿宋_GB2312" w:hAnsi="仿宋_GB2312" w:cs="仿宋_GB2312"/>
                <w:sz w:val="24"/>
              </w:rPr>
            </w:pPr>
          </w:p>
          <w:p w:rsidR="00F55CEE" w:rsidRDefault="001145CC">
            <w:pPr>
              <w:pStyle w:val="a0"/>
              <w:spacing w:after="0" w:line="360" w:lineRule="auto"/>
              <w:jc w:val="center"/>
              <w:rPr>
                <w:rFonts w:ascii="楷体_GB2312" w:eastAsia="楷体_GB2312" w:hAnsi="楷体_GB2312" w:cs="楷体_GB2312"/>
                <w:sz w:val="24"/>
              </w:rPr>
            </w:pPr>
            <w:r>
              <w:rPr>
                <w:rFonts w:ascii="仿宋_GB2312" w:eastAsia="仿宋_GB2312" w:hAnsi="仿宋_GB2312" w:cs="仿宋_GB2312" w:hint="eastAsia"/>
                <w:sz w:val="24"/>
              </w:rPr>
              <w:t>表</w:t>
            </w:r>
            <w:r>
              <w:rPr>
                <w:rFonts w:ascii="仿宋_GB2312" w:eastAsia="仿宋_GB2312" w:hAnsi="仿宋_GB2312" w:cs="仿宋_GB2312" w:hint="eastAsia"/>
                <w:sz w:val="24"/>
              </w:rPr>
              <w:t>3-5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r>
              <w:rPr>
                <w:rFonts w:ascii="仿宋_GB2312" w:eastAsia="仿宋_GB2312" w:hAnsi="仿宋_GB2312" w:cs="仿宋_GB2312" w:hint="eastAsia"/>
                <w:sz w:val="24"/>
              </w:rPr>
              <w:t>年市级财政补助资金使用情况表</w:t>
            </w:r>
          </w:p>
        </w:tc>
      </w:tr>
      <w:tr w:rsidR="00F55CEE">
        <w:trPr>
          <w:trHeight w:val="454"/>
        </w:trPr>
        <w:tc>
          <w:tcPr>
            <w:tcW w:w="2354" w:type="dxa"/>
            <w:tcBorders>
              <w:top w:val="single" w:sz="4" w:space="0" w:color="auto"/>
            </w:tcBorders>
            <w:shd w:val="clear" w:color="auto" w:fill="BFBFBF" w:themeFill="background1" w:themeFillShade="BF"/>
            <w:vAlign w:val="bottom"/>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路段</w:t>
            </w:r>
          </w:p>
        </w:tc>
        <w:tc>
          <w:tcPr>
            <w:tcW w:w="3142" w:type="dxa"/>
            <w:tcBorders>
              <w:top w:val="single" w:sz="4" w:space="0" w:color="auto"/>
            </w:tcBorders>
            <w:shd w:val="clear" w:color="auto" w:fill="BFBFBF" w:themeFill="background1" w:themeFillShade="BF"/>
            <w:vAlign w:val="bottom"/>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项目支出内容</w:t>
            </w:r>
          </w:p>
        </w:tc>
        <w:tc>
          <w:tcPr>
            <w:tcW w:w="2655" w:type="dxa"/>
            <w:tcBorders>
              <w:top w:val="single" w:sz="4" w:space="0" w:color="auto"/>
            </w:tcBorders>
            <w:shd w:val="clear" w:color="auto" w:fill="BFBFBF" w:themeFill="background1" w:themeFillShade="BF"/>
            <w:vAlign w:val="bottom"/>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金额（元）</w:t>
            </w:r>
          </w:p>
        </w:tc>
      </w:tr>
      <w:tr w:rsidR="00F55CEE">
        <w:trPr>
          <w:trHeight w:val="454"/>
        </w:trPr>
        <w:tc>
          <w:tcPr>
            <w:tcW w:w="2354" w:type="dxa"/>
            <w:vMerge w:val="restart"/>
            <w:vAlign w:val="center"/>
          </w:tcPr>
          <w:p w:rsidR="00F55CEE" w:rsidRDefault="001145CC">
            <w:pPr>
              <w:widowControl/>
              <w:jc w:val="center"/>
              <w:textAlignment w:val="center"/>
              <w:rPr>
                <w:rFonts w:ascii="楷体_GB2312" w:eastAsia="楷体_GB2312" w:hAnsi="宋体" w:cs="楷体_GB2312"/>
                <w:color w:val="000000"/>
                <w:kern w:val="0"/>
                <w:sz w:val="24"/>
                <w:lang/>
              </w:rPr>
            </w:pPr>
            <w:r>
              <w:rPr>
                <w:rFonts w:ascii="楷体_GB2312" w:eastAsia="楷体_GB2312" w:hAnsi="宋体" w:cs="楷体_GB2312"/>
                <w:color w:val="000000"/>
                <w:kern w:val="0"/>
                <w:sz w:val="24"/>
                <w:lang/>
              </w:rPr>
              <w:t>港东</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白岩寺</w:t>
            </w: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工程款</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1,010,000.00 </w:t>
            </w:r>
          </w:p>
        </w:tc>
      </w:tr>
      <w:tr w:rsidR="00F55CEE">
        <w:trPr>
          <w:trHeight w:val="454"/>
        </w:trPr>
        <w:tc>
          <w:tcPr>
            <w:tcW w:w="2354" w:type="dxa"/>
            <w:vMerge/>
            <w:vAlign w:val="center"/>
          </w:tcPr>
          <w:p w:rsidR="00F55CEE" w:rsidRDefault="00F55CEE">
            <w:pPr>
              <w:jc w:val="center"/>
              <w:rPr>
                <w:rFonts w:ascii="楷体_GB2312" w:eastAsia="楷体_GB2312" w:hAnsi="宋体" w:cs="楷体_GB2312"/>
                <w:color w:val="000000"/>
                <w:kern w:val="0"/>
                <w:sz w:val="24"/>
                <w:lang/>
              </w:rPr>
            </w:pP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勘察设计费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60,000.00 </w:t>
            </w:r>
          </w:p>
        </w:tc>
      </w:tr>
      <w:tr w:rsidR="00F55CEE">
        <w:trPr>
          <w:trHeight w:val="454"/>
        </w:trPr>
        <w:tc>
          <w:tcPr>
            <w:tcW w:w="2354" w:type="dxa"/>
            <w:vMerge/>
            <w:vAlign w:val="center"/>
          </w:tcPr>
          <w:p w:rsidR="00F55CEE" w:rsidRDefault="00F55CEE">
            <w:pPr>
              <w:jc w:val="center"/>
              <w:rPr>
                <w:rFonts w:ascii="楷体_GB2312" w:eastAsia="楷体_GB2312" w:hAnsi="宋体" w:cs="楷体_GB2312"/>
                <w:color w:val="000000"/>
                <w:kern w:val="0"/>
                <w:sz w:val="24"/>
                <w:lang/>
              </w:rPr>
            </w:pP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水土保持方案编制费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100,000.00 </w:t>
            </w:r>
          </w:p>
        </w:tc>
      </w:tr>
      <w:tr w:rsidR="00F55CEE">
        <w:trPr>
          <w:trHeight w:val="454"/>
        </w:trPr>
        <w:tc>
          <w:tcPr>
            <w:tcW w:w="2354" w:type="dxa"/>
            <w:vMerge/>
            <w:vAlign w:val="center"/>
          </w:tcPr>
          <w:p w:rsidR="00F55CEE" w:rsidRDefault="00F55CEE">
            <w:pPr>
              <w:jc w:val="center"/>
              <w:rPr>
                <w:rFonts w:ascii="楷体_GB2312" w:eastAsia="楷体_GB2312" w:hAnsi="宋体" w:cs="楷体_GB2312"/>
                <w:color w:val="000000"/>
                <w:kern w:val="0"/>
                <w:sz w:val="24"/>
                <w:lang/>
              </w:rPr>
            </w:pP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监理费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190,000.00 </w:t>
            </w:r>
          </w:p>
        </w:tc>
      </w:tr>
      <w:tr w:rsidR="00F55CEE">
        <w:trPr>
          <w:trHeight w:val="454"/>
        </w:trPr>
        <w:tc>
          <w:tcPr>
            <w:tcW w:w="2354" w:type="dxa"/>
            <w:vAlign w:val="center"/>
          </w:tcPr>
          <w:p w:rsidR="00F55CEE" w:rsidRDefault="001145CC">
            <w:pPr>
              <w:widowControl/>
              <w:jc w:val="center"/>
              <w:textAlignment w:val="center"/>
              <w:rPr>
                <w:rFonts w:ascii="楷体_GB2312" w:eastAsia="楷体_GB2312" w:hAnsi="宋体" w:cs="楷体_GB2312"/>
                <w:color w:val="000000"/>
                <w:kern w:val="0"/>
                <w:sz w:val="24"/>
                <w:lang/>
              </w:rPr>
            </w:pPr>
            <w:r>
              <w:rPr>
                <w:rFonts w:ascii="楷体_GB2312" w:eastAsia="楷体_GB2312" w:hAnsi="宋体" w:cs="楷体_GB2312"/>
                <w:color w:val="000000"/>
                <w:kern w:val="0"/>
                <w:sz w:val="24"/>
                <w:lang/>
              </w:rPr>
              <w:t>北泉寨</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后家滩</w:t>
            </w: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监理费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1,000,000.00 </w:t>
            </w:r>
          </w:p>
        </w:tc>
      </w:tr>
      <w:tr w:rsidR="00F55CEE">
        <w:trPr>
          <w:trHeight w:val="454"/>
        </w:trPr>
        <w:tc>
          <w:tcPr>
            <w:tcW w:w="2354" w:type="dxa"/>
            <w:vMerge w:val="restart"/>
            <w:vAlign w:val="center"/>
          </w:tcPr>
          <w:p w:rsidR="00F55CEE" w:rsidRDefault="001145CC">
            <w:pPr>
              <w:widowControl/>
              <w:jc w:val="center"/>
              <w:textAlignment w:val="center"/>
              <w:rPr>
                <w:rFonts w:ascii="楷体_GB2312" w:eastAsia="楷体_GB2312" w:hAnsi="宋体" w:cs="楷体_GB2312"/>
                <w:color w:val="000000"/>
                <w:kern w:val="0"/>
                <w:sz w:val="24"/>
                <w:lang/>
              </w:rPr>
            </w:pPr>
            <w:r>
              <w:rPr>
                <w:rFonts w:ascii="楷体_GB2312" w:eastAsia="楷体_GB2312" w:hAnsi="宋体" w:cs="楷体_GB2312"/>
                <w:color w:val="000000"/>
                <w:kern w:val="0"/>
                <w:sz w:val="24"/>
                <w:lang/>
              </w:rPr>
              <w:t>杨家庄</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龙洞</w:t>
            </w: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工程款</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30,000.00 </w:t>
            </w:r>
          </w:p>
        </w:tc>
      </w:tr>
      <w:tr w:rsidR="00F55CEE">
        <w:trPr>
          <w:trHeight w:val="454"/>
        </w:trPr>
        <w:tc>
          <w:tcPr>
            <w:tcW w:w="2354" w:type="dxa"/>
            <w:vMerge/>
            <w:vAlign w:val="center"/>
          </w:tcPr>
          <w:p w:rsidR="00F55CEE" w:rsidRDefault="00F55CEE">
            <w:pPr>
              <w:jc w:val="center"/>
              <w:rPr>
                <w:rFonts w:ascii="楷体_GB2312" w:eastAsia="楷体_GB2312" w:hAnsi="宋体" w:cs="楷体_GB2312"/>
                <w:color w:val="000000"/>
                <w:kern w:val="0"/>
                <w:sz w:val="24"/>
                <w:lang/>
              </w:rPr>
            </w:pP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勘察设计费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50,000.00 </w:t>
            </w:r>
          </w:p>
        </w:tc>
      </w:tr>
      <w:tr w:rsidR="00F55CEE">
        <w:trPr>
          <w:trHeight w:val="454"/>
        </w:trPr>
        <w:tc>
          <w:tcPr>
            <w:tcW w:w="2354" w:type="dxa"/>
            <w:vMerge/>
            <w:vAlign w:val="center"/>
          </w:tcPr>
          <w:p w:rsidR="00F55CEE" w:rsidRDefault="00F55CEE">
            <w:pPr>
              <w:jc w:val="center"/>
              <w:rPr>
                <w:rFonts w:ascii="楷体_GB2312" w:eastAsia="楷体_GB2312" w:hAnsi="宋体" w:cs="楷体_GB2312"/>
                <w:color w:val="000000"/>
                <w:kern w:val="0"/>
                <w:sz w:val="24"/>
                <w:lang/>
              </w:rPr>
            </w:pP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水土保持方案编制费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100,000.00 </w:t>
            </w:r>
          </w:p>
        </w:tc>
      </w:tr>
      <w:tr w:rsidR="00F55CEE">
        <w:trPr>
          <w:trHeight w:val="454"/>
        </w:trPr>
        <w:tc>
          <w:tcPr>
            <w:tcW w:w="2354" w:type="dxa"/>
            <w:vMerge/>
            <w:vAlign w:val="center"/>
          </w:tcPr>
          <w:p w:rsidR="00F55CEE" w:rsidRDefault="00F55CEE">
            <w:pPr>
              <w:jc w:val="center"/>
              <w:rPr>
                <w:rFonts w:ascii="楷体_GB2312" w:eastAsia="楷体_GB2312" w:hAnsi="宋体" w:cs="楷体_GB2312"/>
                <w:color w:val="000000"/>
                <w:kern w:val="0"/>
                <w:sz w:val="24"/>
                <w:lang/>
              </w:rPr>
            </w:pP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监理费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80,000.00 </w:t>
            </w:r>
          </w:p>
        </w:tc>
      </w:tr>
      <w:tr w:rsidR="00F55CEE">
        <w:trPr>
          <w:trHeight w:val="454"/>
        </w:trPr>
        <w:tc>
          <w:tcPr>
            <w:tcW w:w="2354" w:type="dxa"/>
            <w:vMerge w:val="restart"/>
            <w:vAlign w:val="center"/>
          </w:tcPr>
          <w:p w:rsidR="00F55CEE" w:rsidRDefault="001145CC">
            <w:pPr>
              <w:widowControl/>
              <w:jc w:val="center"/>
              <w:textAlignment w:val="center"/>
              <w:rPr>
                <w:rFonts w:ascii="楷体_GB2312" w:eastAsia="楷体_GB2312" w:hAnsi="宋体" w:cs="楷体_GB2312"/>
                <w:color w:val="000000"/>
                <w:kern w:val="0"/>
                <w:sz w:val="24"/>
                <w:lang/>
              </w:rPr>
            </w:pPr>
            <w:r>
              <w:rPr>
                <w:rFonts w:ascii="楷体_GB2312" w:eastAsia="楷体_GB2312" w:hAnsi="宋体" w:cs="楷体_GB2312"/>
                <w:color w:val="000000"/>
                <w:kern w:val="0"/>
                <w:sz w:val="24"/>
                <w:lang/>
              </w:rPr>
              <w:t>西井</w:t>
            </w:r>
            <w:r>
              <w:rPr>
                <w:rFonts w:ascii="楷体_GB2312" w:eastAsia="楷体_GB2312" w:hAnsi="宋体" w:cs="楷体_GB2312"/>
                <w:color w:val="000000"/>
                <w:kern w:val="0"/>
                <w:sz w:val="24"/>
                <w:lang/>
              </w:rPr>
              <w:t>-</w:t>
            </w:r>
            <w:r>
              <w:rPr>
                <w:rFonts w:ascii="楷体_GB2312" w:eastAsia="楷体_GB2312" w:hAnsi="宋体" w:cs="楷体_GB2312"/>
                <w:color w:val="000000"/>
                <w:kern w:val="0"/>
                <w:sz w:val="24"/>
                <w:lang/>
              </w:rPr>
              <w:t>板山段</w:t>
            </w: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勘察设计费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35,000.00 </w:t>
            </w:r>
          </w:p>
        </w:tc>
      </w:tr>
      <w:tr w:rsidR="00F55CEE">
        <w:trPr>
          <w:trHeight w:val="454"/>
        </w:trPr>
        <w:tc>
          <w:tcPr>
            <w:tcW w:w="2354" w:type="dxa"/>
            <w:vMerge/>
            <w:vAlign w:val="center"/>
          </w:tcPr>
          <w:p w:rsidR="00F55CEE" w:rsidRDefault="00F55CEE">
            <w:pPr>
              <w:jc w:val="center"/>
              <w:rPr>
                <w:rFonts w:ascii="楷体_GB2312" w:eastAsia="楷体_GB2312" w:hAnsi="宋体" w:cs="楷体_GB2312"/>
                <w:color w:val="000000"/>
                <w:kern w:val="0"/>
                <w:sz w:val="24"/>
                <w:lang/>
              </w:rPr>
            </w:pP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施工图设计咨询费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120,000.00 </w:t>
            </w:r>
          </w:p>
        </w:tc>
      </w:tr>
      <w:tr w:rsidR="00F55CEE">
        <w:trPr>
          <w:trHeight w:val="454"/>
        </w:trPr>
        <w:tc>
          <w:tcPr>
            <w:tcW w:w="2354" w:type="dxa"/>
            <w:vMerge/>
            <w:vAlign w:val="center"/>
          </w:tcPr>
          <w:p w:rsidR="00F55CEE" w:rsidRDefault="00F55CEE">
            <w:pPr>
              <w:jc w:val="center"/>
              <w:rPr>
                <w:rFonts w:ascii="楷体_GB2312" w:eastAsia="楷体_GB2312" w:hAnsi="宋体" w:cs="楷体_GB2312"/>
                <w:color w:val="000000"/>
                <w:kern w:val="0"/>
                <w:sz w:val="24"/>
                <w:lang/>
              </w:rPr>
            </w:pP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环境影响报告编制费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40,000.00 </w:t>
            </w:r>
          </w:p>
        </w:tc>
      </w:tr>
      <w:tr w:rsidR="00F55CEE">
        <w:trPr>
          <w:trHeight w:val="454"/>
        </w:trPr>
        <w:tc>
          <w:tcPr>
            <w:tcW w:w="2354" w:type="dxa"/>
            <w:vMerge/>
            <w:vAlign w:val="center"/>
          </w:tcPr>
          <w:p w:rsidR="00F55CEE" w:rsidRDefault="00F55CEE">
            <w:pPr>
              <w:jc w:val="center"/>
              <w:rPr>
                <w:rFonts w:ascii="楷体_GB2312" w:eastAsia="楷体_GB2312" w:hAnsi="宋体" w:cs="楷体_GB2312"/>
                <w:color w:val="000000"/>
                <w:kern w:val="0"/>
                <w:sz w:val="24"/>
                <w:lang/>
              </w:rPr>
            </w:pPr>
          </w:p>
        </w:tc>
        <w:tc>
          <w:tcPr>
            <w:tcW w:w="3142"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水土保持编制费</w:t>
            </w:r>
          </w:p>
        </w:tc>
        <w:tc>
          <w:tcPr>
            <w:tcW w:w="2655" w:type="dxa"/>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color w:val="000000"/>
                <w:kern w:val="0"/>
                <w:sz w:val="20"/>
                <w:szCs w:val="20"/>
                <w:lang/>
              </w:rPr>
              <w:t xml:space="preserve">100,000.00 </w:t>
            </w:r>
          </w:p>
        </w:tc>
      </w:tr>
      <w:tr w:rsidR="00F55CEE">
        <w:trPr>
          <w:trHeight w:val="454"/>
        </w:trPr>
        <w:tc>
          <w:tcPr>
            <w:tcW w:w="5496" w:type="dxa"/>
            <w:gridSpan w:val="2"/>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合</w:t>
            </w:r>
            <w:r>
              <w:rPr>
                <w:rFonts w:ascii="楷体_GB2312" w:eastAsia="楷体_GB2312" w:hAnsi="楷体_GB2312" w:cs="楷体_GB2312" w:hint="eastAsia"/>
                <w:sz w:val="20"/>
                <w:szCs w:val="20"/>
              </w:rPr>
              <w:t xml:space="preserve">  </w:t>
            </w:r>
            <w:r>
              <w:rPr>
                <w:rFonts w:ascii="楷体_GB2312" w:eastAsia="楷体_GB2312" w:hAnsi="楷体_GB2312" w:cs="楷体_GB2312" w:hint="eastAsia"/>
                <w:sz w:val="20"/>
                <w:szCs w:val="20"/>
              </w:rPr>
              <w:t>计</w:t>
            </w:r>
          </w:p>
        </w:tc>
        <w:tc>
          <w:tcPr>
            <w:tcW w:w="2655" w:type="dxa"/>
          </w:tcPr>
          <w:p w:rsidR="00F55CEE" w:rsidRDefault="001145CC">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2,915,000.00</w:t>
            </w:r>
          </w:p>
        </w:tc>
      </w:tr>
    </w:tbl>
    <w:p w:rsidR="00F55CEE" w:rsidRDefault="001145CC">
      <w:pPr>
        <w:pStyle w:val="a9"/>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B203</w:t>
      </w:r>
      <w:r>
        <w:rPr>
          <w:rFonts w:ascii="仿宋_GB2312" w:eastAsia="仿宋_GB2312" w:hAnsi="仿宋_GB2312" w:cs="仿宋_GB2312" w:hint="eastAsia"/>
          <w:b/>
          <w:bCs/>
          <w:kern w:val="2"/>
          <w:sz w:val="28"/>
          <w:szCs w:val="28"/>
        </w:rPr>
        <w:t>资金使用合规性：</w:t>
      </w:r>
      <w:r>
        <w:rPr>
          <w:rFonts w:ascii="仿宋_GB2312" w:eastAsia="仿宋_GB2312" w:hAnsi="仿宋_GB2312" w:cs="仿宋_GB2312" w:hint="eastAsia"/>
          <w:kern w:val="2"/>
          <w:sz w:val="28"/>
          <w:szCs w:val="28"/>
        </w:rPr>
        <w:t>该指标考察项目资金的使用是否符合相关制度和规定。</w:t>
      </w:r>
    </w:p>
    <w:p w:rsidR="00F55CEE" w:rsidRDefault="001145CC">
      <w:pPr>
        <w:pStyle w:val="a9"/>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评价组经过检查交通局的会计凭证及相关财务资料，项目资金收支合理，手续齐全，支出填写单位专用审批表，写明资金用途、金额，经由财务负责人、工程负责人、财务总监、监理单位负责人签字审批，并取得相关票据，会计科目使用正确，没有挤占、截留、挪用项目资金，资金使用合规，</w:t>
      </w:r>
      <w:r>
        <w:rPr>
          <w:rFonts w:ascii="仿宋_GB2312" w:eastAsia="仿宋_GB2312" w:hAnsi="仿宋_GB2312" w:cs="仿宋_GB2312" w:hint="eastAsia"/>
          <w:kern w:val="2"/>
          <w:sz w:val="28"/>
          <w:szCs w:val="28"/>
        </w:rPr>
        <w:t>该指标得满分。</w:t>
      </w:r>
    </w:p>
    <w:p w:rsidR="00F55CEE" w:rsidRDefault="00F55CEE">
      <w:pPr>
        <w:pStyle w:val="a9"/>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p>
    <w:p w:rsidR="00F55CEE" w:rsidRDefault="001145CC">
      <w:pPr>
        <w:pStyle w:val="2"/>
        <w:spacing w:before="0" w:line="360" w:lineRule="auto"/>
        <w:ind w:firstLineChars="200" w:firstLine="560"/>
        <w:rPr>
          <w:rFonts w:ascii="楷体_GB2312" w:eastAsia="楷体_GB2312" w:hAnsi="楷体_GB2312" w:cs="楷体_GB2312"/>
          <w:b w:val="0"/>
          <w:bCs w:val="0"/>
          <w:sz w:val="28"/>
          <w:szCs w:val="28"/>
        </w:rPr>
      </w:pPr>
      <w:bookmarkStart w:id="176" w:name="_Toc773"/>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三</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产出指标分析</w:t>
      </w:r>
      <w:bookmarkEnd w:id="176"/>
    </w:p>
    <w:p w:rsidR="00F55CEE" w:rsidRDefault="001145CC">
      <w:pPr>
        <w:tabs>
          <w:tab w:val="left" w:pos="5258"/>
        </w:tabs>
        <w:ind w:firstLineChars="200" w:firstLine="560"/>
        <w:jc w:val="left"/>
        <w:rPr>
          <w:rFonts w:ascii="仿宋_GB2312" w:eastAsia="仿宋_GB2312" w:hAnsi="仿宋_GB2312" w:cs="仿宋_GB2312"/>
          <w:b/>
          <w:bCs/>
          <w:sz w:val="24"/>
        </w:rPr>
      </w:pPr>
      <w:r>
        <w:rPr>
          <w:rFonts w:ascii="仿宋_GB2312" w:eastAsia="仿宋_GB2312" w:hAnsi="仿宋_GB2312" w:cs="仿宋_GB2312" w:hint="eastAsia"/>
          <w:sz w:val="28"/>
          <w:szCs w:val="28"/>
        </w:rPr>
        <w:t>产出</w:t>
      </w:r>
      <w:r>
        <w:rPr>
          <w:rFonts w:ascii="仿宋_GB2312" w:eastAsia="仿宋_GB2312" w:hAnsi="仿宋_GB2312" w:cs="仿宋_GB2312" w:hint="eastAsia"/>
          <w:sz w:val="28"/>
          <w:szCs w:val="28"/>
          <w:lang w:val="zh-CN"/>
        </w:rPr>
        <w:t>情况从</w:t>
      </w:r>
      <w:r>
        <w:rPr>
          <w:rFonts w:ascii="仿宋_GB2312" w:eastAsia="仿宋_GB2312" w:hAnsi="仿宋_GB2312" w:cs="仿宋_GB2312" w:hint="eastAsia"/>
          <w:sz w:val="28"/>
          <w:szCs w:val="28"/>
        </w:rPr>
        <w:t>数量、质量、时效、成本四个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25</w:t>
      </w:r>
      <w:r>
        <w:rPr>
          <w:rFonts w:ascii="仿宋_GB2312" w:eastAsia="仿宋_GB2312" w:hAnsi="仿宋_GB2312" w:cs="仿宋_GB2312" w:hint="eastAsia"/>
          <w:sz w:val="28"/>
          <w:szCs w:val="28"/>
          <w:lang w:val="zh-CN"/>
        </w:rPr>
        <w:t>分，</w:t>
      </w:r>
      <w:r>
        <w:rPr>
          <w:rFonts w:ascii="仿宋_GB2312" w:eastAsia="仿宋_GB2312" w:hAnsi="仿宋_GB2312" w:cs="仿宋_GB2312" w:hint="eastAsia"/>
          <w:sz w:val="28"/>
          <w:szCs w:val="28"/>
          <w:lang w:val="zh-CN"/>
        </w:rPr>
        <w:t>实际得分</w:t>
      </w:r>
      <w:r>
        <w:rPr>
          <w:rFonts w:ascii="仿宋_GB2312" w:eastAsia="仿宋_GB2312" w:hAnsi="仿宋_GB2312" w:cs="仿宋_GB2312" w:hint="eastAsia"/>
          <w:sz w:val="28"/>
          <w:szCs w:val="28"/>
        </w:rPr>
        <w:t>16</w:t>
      </w:r>
      <w:r>
        <w:rPr>
          <w:rFonts w:ascii="仿宋_GB2312" w:eastAsia="仿宋_GB2312" w:hAnsi="仿宋_GB2312" w:cs="仿宋_GB2312" w:hint="eastAsia"/>
          <w:sz w:val="28"/>
          <w:szCs w:val="28"/>
          <w:lang w:val="zh-CN"/>
        </w:rPr>
        <w:t>分。指</w:t>
      </w:r>
      <w:r>
        <w:rPr>
          <w:rFonts w:ascii="仿宋_GB2312" w:eastAsia="仿宋_GB2312" w:hAnsi="仿宋_GB2312" w:cs="仿宋_GB2312" w:hint="eastAsia"/>
          <w:sz w:val="28"/>
          <w:szCs w:val="28"/>
          <w:lang w:val="zh-CN"/>
        </w:rPr>
        <w:t>标的得分情况如下表所示。</w:t>
      </w:r>
    </w:p>
    <w:p w:rsidR="00F55CEE" w:rsidRDefault="001145CC">
      <w:pPr>
        <w:spacing w:line="360" w:lineRule="auto"/>
        <w:jc w:val="center"/>
        <w:rPr>
          <w:rFonts w:ascii="仿宋_GB2312" w:eastAsia="仿宋_GB2312" w:hAnsi="仿宋_GB2312" w:cs="仿宋_GB2312"/>
          <w:sz w:val="24"/>
        </w:rPr>
      </w:pPr>
      <w:r>
        <w:rPr>
          <w:rFonts w:ascii="仿宋_GB2312" w:eastAsia="仿宋_GB2312" w:hAnsi="仿宋_GB2312" w:cs="仿宋_GB2312" w:hint="eastAsia"/>
          <w:b/>
          <w:bCs/>
          <w:sz w:val="24"/>
        </w:rPr>
        <w:t>表</w:t>
      </w:r>
      <w:r>
        <w:rPr>
          <w:rFonts w:ascii="仿宋_GB2312" w:eastAsia="仿宋_GB2312" w:hAnsi="仿宋_GB2312" w:cs="仿宋_GB2312" w:hint="eastAsia"/>
          <w:b/>
          <w:bCs/>
          <w:sz w:val="24"/>
        </w:rPr>
        <w:t>3-6</w:t>
      </w:r>
      <w:r>
        <w:rPr>
          <w:rFonts w:ascii="仿宋_GB2312" w:eastAsia="仿宋_GB2312" w:hAnsi="仿宋_GB2312" w:cs="仿宋_GB2312" w:hint="eastAsia"/>
          <w:b/>
          <w:bCs/>
          <w:sz w:val="24"/>
        </w:rPr>
        <w:t>：</w:t>
      </w:r>
      <w:r>
        <w:rPr>
          <w:rFonts w:ascii="仿宋_GB2312" w:eastAsia="仿宋_GB2312" w:hAnsi="仿宋_GB2312" w:cs="仿宋_GB2312" w:hint="eastAsia"/>
          <w:sz w:val="24"/>
        </w:rPr>
        <w:t>产出指标得分情况</w:t>
      </w:r>
    </w:p>
    <w:tbl>
      <w:tblPr>
        <w:tblW w:w="8313" w:type="dxa"/>
        <w:tblLayout w:type="fixed"/>
        <w:tblCellMar>
          <w:left w:w="0" w:type="dxa"/>
          <w:right w:w="0" w:type="dxa"/>
        </w:tblCellMar>
        <w:tblLook w:val="04A0"/>
      </w:tblPr>
      <w:tblGrid>
        <w:gridCol w:w="853"/>
        <w:gridCol w:w="3150"/>
        <w:gridCol w:w="800"/>
        <w:gridCol w:w="850"/>
        <w:gridCol w:w="830"/>
        <w:gridCol w:w="920"/>
        <w:gridCol w:w="910"/>
      </w:tblGrid>
      <w:tr w:rsidR="00F55CEE">
        <w:trPr>
          <w:trHeight w:val="454"/>
          <w:tblHeader/>
        </w:trPr>
        <w:tc>
          <w:tcPr>
            <w:tcW w:w="85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二级指标</w:t>
            </w:r>
          </w:p>
        </w:tc>
        <w:tc>
          <w:tcPr>
            <w:tcW w:w="3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920" w:type="dxa"/>
            <w:tcBorders>
              <w:top w:val="single" w:sz="4" w:space="0" w:color="000000"/>
              <w:left w:val="single" w:sz="4" w:space="0" w:color="auto"/>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91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F55CEE" w:rsidRDefault="001145CC">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F55CEE">
        <w:trPr>
          <w:trHeight w:val="454"/>
        </w:trPr>
        <w:tc>
          <w:tcPr>
            <w:tcW w:w="853" w:type="dxa"/>
            <w:tcBorders>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center"/>
              <w:rPr>
                <w:rFonts w:ascii="仿宋_GB2312" w:eastAsia="仿宋_GB2312" w:hAnsi="仿宋_GB2312" w:cs="仿宋_GB2312"/>
                <w:color w:val="000000"/>
                <w:kern w:val="0"/>
                <w:sz w:val="20"/>
                <w:szCs w:val="20"/>
                <w:lang/>
              </w:rPr>
            </w:pPr>
            <w:r>
              <w:rPr>
                <w:rFonts w:ascii="仿宋_GB2312" w:eastAsia="仿宋_GB2312" w:hAnsi="仿宋_GB2312" w:cs="仿宋_GB2312" w:hint="eastAsia"/>
                <w:color w:val="000000"/>
                <w:kern w:val="0"/>
                <w:sz w:val="20"/>
                <w:szCs w:val="20"/>
                <w:lang/>
              </w:rPr>
              <w:t>数量</w:t>
            </w: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rPr>
              <w:t>C10</w:t>
            </w:r>
            <w:r>
              <w:rPr>
                <w:rFonts w:ascii="楷体_GB2312" w:eastAsia="楷体_GB2312" w:hAnsi="楷体_GB2312" w:cs="楷体_GB2312" w:hint="eastAsia"/>
                <w:color w:val="000000"/>
                <w:kern w:val="0"/>
                <w:sz w:val="20"/>
                <w:szCs w:val="20"/>
              </w:rPr>
              <w:t>1</w:t>
            </w:r>
            <w:r>
              <w:rPr>
                <w:rFonts w:ascii="楷体_GB2312" w:eastAsia="楷体_GB2312" w:hAnsi="楷体_GB2312" w:cs="楷体_GB2312" w:hint="eastAsia"/>
                <w:color w:val="000000"/>
                <w:kern w:val="0"/>
                <w:sz w:val="20"/>
                <w:szCs w:val="20"/>
              </w:rPr>
              <w:t>项目工程完工率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5.00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完工</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完工</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5.00</w:t>
            </w:r>
          </w:p>
        </w:tc>
      </w:tr>
      <w:tr w:rsidR="00F55CEE">
        <w:trPr>
          <w:trHeight w:val="454"/>
        </w:trPr>
        <w:tc>
          <w:tcPr>
            <w:tcW w:w="85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center"/>
              <w:rPr>
                <w:rFonts w:ascii="仿宋_GB2312" w:eastAsia="仿宋_GB2312" w:hAnsi="仿宋_GB2312" w:cs="仿宋_GB2312"/>
                <w:color w:val="000000"/>
                <w:kern w:val="0"/>
                <w:sz w:val="20"/>
                <w:szCs w:val="20"/>
                <w:lang/>
              </w:rPr>
            </w:pPr>
            <w:r>
              <w:rPr>
                <w:rFonts w:ascii="仿宋_GB2312" w:eastAsia="仿宋_GB2312" w:hAnsi="仿宋_GB2312" w:cs="仿宋_GB2312" w:hint="eastAsia"/>
                <w:color w:val="000000"/>
                <w:kern w:val="0"/>
                <w:sz w:val="20"/>
                <w:szCs w:val="20"/>
                <w:lang/>
              </w:rPr>
              <w:t>质量</w:t>
            </w: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left"/>
              <w:textAlignment w:val="center"/>
              <w:rPr>
                <w:rFonts w:ascii="仿宋_GB2312" w:eastAsia="仿宋_GB2312" w:hAnsi="仿宋_GB2312" w:cs="仿宋_GB2312"/>
                <w:color w:val="000000"/>
                <w:kern w:val="0"/>
                <w:sz w:val="20"/>
                <w:szCs w:val="20"/>
              </w:rPr>
            </w:pPr>
            <w:r>
              <w:rPr>
                <w:rFonts w:ascii="楷体_GB2312" w:eastAsia="楷体_GB2312" w:hAnsi="宋体" w:cs="宋体" w:hint="eastAsia"/>
                <w:bCs/>
                <w:spacing w:val="-6"/>
                <w:kern w:val="0"/>
                <w:sz w:val="20"/>
                <w:szCs w:val="20"/>
              </w:rPr>
              <w:t>C201</w:t>
            </w:r>
            <w:r>
              <w:rPr>
                <w:rFonts w:ascii="楷体_GB2312" w:eastAsia="楷体_GB2312" w:hAnsi="宋体" w:cs="宋体" w:hint="eastAsia"/>
                <w:bCs/>
                <w:spacing w:val="-6"/>
                <w:kern w:val="0"/>
                <w:sz w:val="20"/>
                <w:szCs w:val="20"/>
              </w:rPr>
              <w:t>项目验收合格率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color w:val="000000"/>
                <w:kern w:val="0"/>
                <w:sz w:val="20"/>
                <w:szCs w:val="20"/>
              </w:rPr>
            </w:pPr>
            <w:r>
              <w:rPr>
                <w:rFonts w:ascii="楷体_GB2312" w:eastAsia="楷体_GB2312" w:hAnsi="宋体" w:cs="楷体_GB2312" w:hint="eastAsia"/>
                <w:color w:val="000000"/>
                <w:kern w:val="0"/>
                <w:sz w:val="20"/>
                <w:szCs w:val="20"/>
                <w:lang/>
              </w:rPr>
              <w:t>8.00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100%</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25%</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25%</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center"/>
              <w:textAlignment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w:t>
            </w:r>
          </w:p>
        </w:tc>
      </w:tr>
      <w:tr w:rsidR="00F55CEE">
        <w:trPr>
          <w:trHeight w:val="454"/>
        </w:trPr>
        <w:tc>
          <w:tcPr>
            <w:tcW w:w="853" w:type="dxa"/>
            <w:vMerge w:val="restart"/>
            <w:tcBorders>
              <w:top w:val="single" w:sz="4" w:space="0" w:color="auto"/>
              <w:left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时效</w:t>
            </w: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left"/>
              <w:textAlignment w:val="center"/>
              <w:rPr>
                <w:rFonts w:ascii="仿宋_GB2312" w:eastAsia="仿宋_GB2312" w:hAnsi="仿宋_GB2312" w:cs="仿宋_GB2312"/>
                <w:color w:val="000000"/>
                <w:kern w:val="0"/>
                <w:sz w:val="20"/>
                <w:szCs w:val="20"/>
              </w:rPr>
            </w:pPr>
            <w:r>
              <w:rPr>
                <w:rFonts w:ascii="楷体_GB2312" w:eastAsia="楷体_GB2312" w:hAnsi="楷体_GB2312" w:cs="楷体_GB2312" w:hint="eastAsia"/>
                <w:color w:val="000000"/>
                <w:kern w:val="0"/>
                <w:sz w:val="20"/>
                <w:szCs w:val="20"/>
                <w:lang/>
              </w:rPr>
              <w:t>C301</w:t>
            </w:r>
            <w:r>
              <w:rPr>
                <w:rFonts w:ascii="楷体_GB2312" w:eastAsia="楷体_GB2312" w:hAnsi="楷体_GB2312" w:cs="楷体_GB2312" w:hint="eastAsia"/>
                <w:color w:val="000000"/>
                <w:kern w:val="0"/>
                <w:sz w:val="20"/>
                <w:szCs w:val="20"/>
                <w:lang/>
              </w:rPr>
              <w:t>道路建设开工准时率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jc w:val="center"/>
              <w:rPr>
                <w:rFonts w:ascii="仿宋_GB2312" w:eastAsia="仿宋_GB2312" w:hAnsi="仿宋_GB2312" w:cs="仿宋_GB2312"/>
                <w:color w:val="000000"/>
                <w:kern w:val="0"/>
                <w:sz w:val="20"/>
                <w:szCs w:val="20"/>
              </w:rPr>
            </w:pPr>
            <w:r>
              <w:rPr>
                <w:rFonts w:ascii="楷体_GB2312" w:eastAsia="楷体_GB2312" w:hAnsi="宋体" w:cs="楷体_GB2312" w:hint="eastAsia"/>
                <w:color w:val="000000"/>
                <w:kern w:val="0"/>
                <w:sz w:val="20"/>
                <w:szCs w:val="20"/>
                <w:lang/>
              </w:rPr>
              <w:t>5.00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及时</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及时</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 xml:space="preserve"> 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5.00</w:t>
            </w:r>
          </w:p>
        </w:tc>
      </w:tr>
      <w:tr w:rsidR="00F55CEE">
        <w:trPr>
          <w:trHeight w:val="454"/>
        </w:trPr>
        <w:tc>
          <w:tcPr>
            <w:tcW w:w="853" w:type="dxa"/>
            <w:vMerge/>
            <w:tcBorders>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F55CEE">
            <w:pPr>
              <w:widowControl/>
              <w:spacing w:line="280" w:lineRule="exact"/>
              <w:jc w:val="center"/>
              <w:textAlignment w:val="center"/>
              <w:rPr>
                <w:rFonts w:ascii="仿宋_GB2312" w:eastAsia="仿宋_GB2312" w:hAnsi="仿宋_GB2312" w:cs="仿宋_GB2312"/>
                <w:color w:val="000000"/>
                <w:kern w:val="0"/>
                <w:sz w:val="20"/>
                <w:szCs w:val="20"/>
              </w:rPr>
            </w:pP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C302</w:t>
            </w:r>
            <w:r>
              <w:rPr>
                <w:rFonts w:ascii="楷体_GB2312" w:eastAsia="楷体_GB2312" w:hAnsi="楷体_GB2312" w:cs="楷体_GB2312" w:hint="eastAsia"/>
                <w:color w:val="000000"/>
                <w:kern w:val="0"/>
                <w:sz w:val="20"/>
                <w:szCs w:val="20"/>
                <w:lang/>
              </w:rPr>
              <w:t>道路建设完成及时率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4.00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及时</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及时</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4.00</w:t>
            </w:r>
          </w:p>
        </w:tc>
      </w:tr>
      <w:tr w:rsidR="00F55CEE">
        <w:trPr>
          <w:trHeight w:val="454"/>
        </w:trPr>
        <w:tc>
          <w:tcPr>
            <w:tcW w:w="853" w:type="dxa"/>
            <w:tcBorders>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成本</w:t>
            </w: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D101</w:t>
            </w:r>
            <w:r>
              <w:rPr>
                <w:rFonts w:ascii="楷体_GB2312" w:eastAsia="楷体_GB2312" w:hAnsi="楷体_GB2312" w:cs="楷体_GB2312" w:hint="eastAsia"/>
                <w:color w:val="000000"/>
                <w:kern w:val="0"/>
                <w:sz w:val="20"/>
                <w:szCs w:val="20"/>
                <w:lang/>
              </w:rPr>
              <w:t>成本节约率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节约</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F55CEE">
            <w:pPr>
              <w:widowControl/>
              <w:spacing w:line="280" w:lineRule="exact"/>
              <w:jc w:val="center"/>
              <w:textAlignment w:val="bottom"/>
              <w:rPr>
                <w:rFonts w:ascii="仿宋_GB2312" w:eastAsia="仿宋_GB2312" w:hAnsi="仿宋_GB2312" w:cs="仿宋_GB2312"/>
                <w:color w:val="000000"/>
                <w:kern w:val="0"/>
                <w:sz w:val="20"/>
                <w:szCs w:val="20"/>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F55CEE">
            <w:pPr>
              <w:widowControl/>
              <w:spacing w:line="280" w:lineRule="exact"/>
              <w:jc w:val="center"/>
              <w:textAlignment w:val="bottom"/>
              <w:rPr>
                <w:rFonts w:ascii="仿宋_GB2312" w:eastAsia="仿宋_GB2312" w:hAnsi="仿宋_GB2312" w:cs="仿宋_GB2312"/>
                <w:color w:val="000000"/>
                <w:kern w:val="0"/>
                <w:sz w:val="20"/>
                <w:szCs w:val="20"/>
              </w:rPr>
            </w:pP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0.00</w:t>
            </w:r>
          </w:p>
        </w:tc>
      </w:tr>
      <w:tr w:rsidR="00F55CEE">
        <w:trPr>
          <w:trHeight w:val="454"/>
        </w:trPr>
        <w:tc>
          <w:tcPr>
            <w:tcW w:w="85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F55CEE">
            <w:pPr>
              <w:widowControl/>
              <w:spacing w:line="300" w:lineRule="exact"/>
              <w:jc w:val="center"/>
              <w:textAlignment w:val="center"/>
              <w:rPr>
                <w:rFonts w:ascii="仿宋_GB2312" w:eastAsia="仿宋_GB2312" w:hAnsi="仿宋_GB2312" w:cs="仿宋_GB2312"/>
                <w:color w:val="000000"/>
                <w:sz w:val="20"/>
                <w:szCs w:val="20"/>
              </w:rPr>
            </w:pPr>
          </w:p>
        </w:tc>
        <w:tc>
          <w:tcPr>
            <w:tcW w:w="31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合</w:t>
            </w:r>
            <w:r>
              <w:rPr>
                <w:rFonts w:ascii="楷体_GB2312" w:eastAsia="楷体_GB2312" w:hAnsi="宋体" w:cs="楷体_GB2312" w:hint="eastAsia"/>
                <w:color w:val="000000"/>
                <w:sz w:val="20"/>
                <w:szCs w:val="20"/>
              </w:rPr>
              <w:t xml:space="preserve"> </w:t>
            </w:r>
            <w:r>
              <w:rPr>
                <w:rFonts w:ascii="楷体_GB2312" w:eastAsia="楷体_GB2312" w:hAnsi="宋体" w:cs="楷体_GB2312" w:hint="eastAsia"/>
                <w:color w:val="000000"/>
                <w:sz w:val="20"/>
                <w:szCs w:val="20"/>
              </w:rPr>
              <w:t>计</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25.00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F55CEE">
            <w:pPr>
              <w:widowControl/>
              <w:spacing w:line="300" w:lineRule="exact"/>
              <w:jc w:val="center"/>
              <w:textAlignment w:val="bottom"/>
              <w:rPr>
                <w:rFonts w:ascii="仿宋_GB2312" w:eastAsia="仿宋_GB2312" w:hAnsi="仿宋_GB2312" w:cs="仿宋_GB2312"/>
                <w:color w:val="000000"/>
                <w:sz w:val="20"/>
                <w:szCs w:val="20"/>
              </w:rPr>
            </w:pP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F55CEE">
            <w:pPr>
              <w:widowControl/>
              <w:spacing w:line="300" w:lineRule="exact"/>
              <w:jc w:val="center"/>
              <w:textAlignment w:val="bottom"/>
              <w:rPr>
                <w:rFonts w:ascii="仿宋_GB2312" w:eastAsia="仿宋_GB2312" w:hAnsi="仿宋_GB2312" w:cs="仿宋_GB2312"/>
                <w:color w:val="000000"/>
                <w:sz w:val="20"/>
                <w:szCs w:val="20"/>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300" w:lineRule="exact"/>
              <w:jc w:val="center"/>
              <w:textAlignment w:val="bottom"/>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64.00%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F55CEE" w:rsidRDefault="001145CC">
            <w:pPr>
              <w:widowControl/>
              <w:spacing w:line="280" w:lineRule="exact"/>
              <w:jc w:val="center"/>
              <w:textAlignment w:val="bottom"/>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16.00</w:t>
            </w:r>
          </w:p>
        </w:tc>
      </w:tr>
    </w:tbl>
    <w:p w:rsidR="00F55CEE" w:rsidRDefault="001145CC">
      <w:pPr>
        <w:spacing w:line="360" w:lineRule="auto"/>
        <w:ind w:firstLineChars="200" w:firstLine="562"/>
        <w:rPr>
          <w:rFonts w:ascii="仿宋_GB2312" w:eastAsia="仿宋_GB2312" w:hAnsi="仿宋_GB2312" w:cs="仿宋_GB2312"/>
          <w:color w:val="333333"/>
          <w:sz w:val="28"/>
          <w:szCs w:val="28"/>
        </w:rPr>
      </w:pPr>
      <w:r>
        <w:rPr>
          <w:rFonts w:ascii="仿宋_GB2312" w:eastAsia="仿宋_GB2312" w:hAnsi="仿宋_GB2312" w:cs="仿宋_GB2312" w:hint="eastAsia"/>
          <w:b/>
          <w:bCs/>
          <w:sz w:val="28"/>
          <w:szCs w:val="28"/>
        </w:rPr>
        <w:t>C101</w:t>
      </w:r>
      <w:r>
        <w:rPr>
          <w:rFonts w:ascii="仿宋_GB2312" w:eastAsia="仿宋_GB2312" w:hAnsi="仿宋_GB2312" w:cs="仿宋_GB2312" w:hint="eastAsia"/>
          <w:b/>
          <w:bCs/>
          <w:sz w:val="28"/>
          <w:szCs w:val="28"/>
        </w:rPr>
        <w:t>项目工程完工率：</w:t>
      </w:r>
      <w:r>
        <w:rPr>
          <w:rFonts w:ascii="仿宋_GB2312" w:eastAsia="仿宋_GB2312" w:hAnsi="仿宋_GB2312" w:cs="仿宋_GB2312" w:hint="eastAsia"/>
          <w:color w:val="333333"/>
          <w:sz w:val="28"/>
          <w:szCs w:val="28"/>
        </w:rPr>
        <w:t>该指标考察项目工程整体完成情况。</w:t>
      </w:r>
    </w:p>
    <w:p w:rsidR="00F55CEE" w:rsidRDefault="001145CC">
      <w:pPr>
        <w:spacing w:line="360" w:lineRule="auto"/>
        <w:ind w:firstLineChars="200" w:firstLine="560"/>
        <w:rPr>
          <w:rFonts w:ascii="仿宋_GB2312" w:eastAsia="仿宋_GB2312" w:hAnsi="仿宋_GB2312" w:cs="仿宋_GB2312"/>
          <w:color w:val="333333"/>
          <w:sz w:val="28"/>
          <w:szCs w:val="28"/>
        </w:rPr>
      </w:pPr>
      <w:r>
        <w:rPr>
          <w:rFonts w:ascii="仿宋_GB2312" w:eastAsia="仿宋_GB2312" w:hAnsi="仿宋_GB2312" w:cs="仿宋_GB2312" w:hint="eastAsia"/>
          <w:color w:val="333333"/>
          <w:sz w:val="28"/>
          <w:szCs w:val="28"/>
        </w:rPr>
        <w:t>三大板块旅游公路共涉及四个路段，全长</w:t>
      </w:r>
      <w:r>
        <w:rPr>
          <w:rFonts w:ascii="仿宋_GB2312" w:eastAsia="仿宋_GB2312" w:hAnsi="仿宋_GB2312" w:cs="仿宋_GB2312" w:hint="eastAsia"/>
          <w:color w:val="333333"/>
          <w:sz w:val="28"/>
          <w:szCs w:val="28"/>
        </w:rPr>
        <w:t>57.791</w:t>
      </w:r>
      <w:r>
        <w:rPr>
          <w:rFonts w:ascii="仿宋_GB2312" w:eastAsia="仿宋_GB2312" w:hAnsi="仿宋_GB2312" w:cs="仿宋_GB2312" w:hint="eastAsia"/>
          <w:color w:val="333333"/>
          <w:sz w:val="28"/>
          <w:szCs w:val="28"/>
        </w:rPr>
        <w:t>公里，其中：港东</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白岩寺段长约</w:t>
      </w:r>
      <w:r>
        <w:rPr>
          <w:rFonts w:ascii="仿宋_GB2312" w:eastAsia="仿宋_GB2312" w:hAnsi="仿宋_GB2312" w:cs="仿宋_GB2312" w:hint="eastAsia"/>
          <w:color w:val="333333"/>
          <w:sz w:val="28"/>
          <w:szCs w:val="28"/>
        </w:rPr>
        <w:t>6.43</w:t>
      </w:r>
      <w:r>
        <w:rPr>
          <w:rFonts w:ascii="仿宋_GB2312" w:eastAsia="仿宋_GB2312" w:hAnsi="仿宋_GB2312" w:cs="仿宋_GB2312" w:hint="eastAsia"/>
          <w:color w:val="333333"/>
          <w:sz w:val="28"/>
          <w:szCs w:val="28"/>
        </w:rPr>
        <w:t>公里，北泉寨</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后家滩段长约</w:t>
      </w:r>
      <w:r>
        <w:rPr>
          <w:rFonts w:ascii="仿宋_GB2312" w:eastAsia="仿宋_GB2312" w:hAnsi="仿宋_GB2312" w:cs="仿宋_GB2312" w:hint="eastAsia"/>
          <w:color w:val="333333"/>
          <w:sz w:val="28"/>
          <w:szCs w:val="28"/>
        </w:rPr>
        <w:t>18.369</w:t>
      </w:r>
      <w:r>
        <w:rPr>
          <w:rFonts w:ascii="仿宋_GB2312" w:eastAsia="仿宋_GB2312" w:hAnsi="仿宋_GB2312" w:cs="仿宋_GB2312" w:hint="eastAsia"/>
          <w:color w:val="333333"/>
          <w:sz w:val="28"/>
          <w:szCs w:val="28"/>
        </w:rPr>
        <w:t>公里，</w:t>
      </w:r>
      <w:r>
        <w:rPr>
          <w:rFonts w:ascii="仿宋_GB2312" w:eastAsia="仿宋_GB2312" w:hAnsi="仿宋_GB2312" w:cs="仿宋_GB2312" w:hint="eastAsia"/>
          <w:color w:val="333333"/>
          <w:sz w:val="28"/>
          <w:szCs w:val="28"/>
        </w:rPr>
        <w:lastRenderedPageBreak/>
        <w:t>杨家庄</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龙洞段长约</w:t>
      </w:r>
      <w:r>
        <w:rPr>
          <w:rFonts w:ascii="仿宋_GB2312" w:eastAsia="仿宋_GB2312" w:hAnsi="仿宋_GB2312" w:cs="仿宋_GB2312" w:hint="eastAsia"/>
          <w:color w:val="333333"/>
          <w:sz w:val="28"/>
          <w:szCs w:val="28"/>
        </w:rPr>
        <w:t>12.231</w:t>
      </w:r>
      <w:r>
        <w:rPr>
          <w:rFonts w:ascii="仿宋_GB2312" w:eastAsia="仿宋_GB2312" w:hAnsi="仿宋_GB2312" w:cs="仿宋_GB2312" w:hint="eastAsia"/>
          <w:color w:val="333333"/>
          <w:sz w:val="28"/>
          <w:szCs w:val="28"/>
        </w:rPr>
        <w:t>公里，西井</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板山段长约</w:t>
      </w:r>
      <w:r>
        <w:rPr>
          <w:rFonts w:ascii="仿宋_GB2312" w:eastAsia="仿宋_GB2312" w:hAnsi="仿宋_GB2312" w:cs="仿宋_GB2312" w:hint="eastAsia"/>
          <w:color w:val="333333"/>
          <w:sz w:val="28"/>
          <w:szCs w:val="28"/>
        </w:rPr>
        <w:t>21</w:t>
      </w:r>
      <w:r>
        <w:rPr>
          <w:rFonts w:ascii="仿宋_GB2312" w:eastAsia="仿宋_GB2312" w:hAnsi="仿宋_GB2312" w:cs="仿宋_GB2312" w:hint="eastAsia"/>
          <w:color w:val="333333"/>
          <w:sz w:val="28"/>
          <w:szCs w:val="28"/>
        </w:rPr>
        <w:t>公里。根据与交通局工作人员了解，</w:t>
      </w:r>
      <w:r>
        <w:rPr>
          <w:rFonts w:ascii="仿宋_GB2312" w:eastAsia="仿宋_GB2312" w:hAnsi="仿宋_GB2312" w:cs="仿宋_GB2312" w:hint="eastAsia"/>
          <w:color w:val="333333"/>
          <w:sz w:val="28"/>
          <w:szCs w:val="28"/>
        </w:rPr>
        <w:t>经过实地查看、测量，</w:t>
      </w:r>
      <w:r>
        <w:rPr>
          <w:rFonts w:ascii="仿宋_GB2312" w:eastAsia="仿宋_GB2312" w:hAnsi="仿宋_GB2312" w:cs="仿宋_GB2312" w:hint="eastAsia"/>
          <w:color w:val="333333"/>
          <w:sz w:val="28"/>
          <w:szCs w:val="28"/>
        </w:rPr>
        <w:t>该项目目前基本已完工，完工长度约</w:t>
      </w:r>
      <w:r>
        <w:rPr>
          <w:rFonts w:ascii="仿宋_GB2312" w:eastAsia="仿宋_GB2312" w:hAnsi="仿宋_GB2312" w:cs="仿宋_GB2312" w:hint="eastAsia"/>
          <w:color w:val="333333"/>
          <w:sz w:val="28"/>
          <w:szCs w:val="28"/>
        </w:rPr>
        <w:t>57.791</w:t>
      </w:r>
      <w:r>
        <w:rPr>
          <w:rFonts w:ascii="仿宋_GB2312" w:eastAsia="仿宋_GB2312" w:hAnsi="仿宋_GB2312" w:cs="仿宋_GB2312" w:hint="eastAsia"/>
          <w:color w:val="333333"/>
          <w:sz w:val="28"/>
          <w:szCs w:val="28"/>
        </w:rPr>
        <w:t>公里。项目整体完工率</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实际完工长度</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计划完工长度</w:t>
      </w:r>
      <w:r>
        <w:rPr>
          <w:rFonts w:ascii="仿宋_GB2312" w:eastAsia="仿宋_GB2312" w:hAnsi="仿宋_GB2312" w:cs="仿宋_GB2312" w:hint="eastAsia"/>
          <w:color w:val="333333"/>
          <w:sz w:val="28"/>
          <w:szCs w:val="28"/>
        </w:rPr>
        <w:t>*100%=57.791/57.791*100%=100%</w:t>
      </w:r>
      <w:r>
        <w:rPr>
          <w:rFonts w:ascii="仿宋_GB2312" w:eastAsia="仿宋_GB2312" w:hAnsi="仿宋_GB2312" w:cs="仿宋_GB2312" w:hint="eastAsia"/>
          <w:color w:val="333333"/>
          <w:sz w:val="28"/>
          <w:szCs w:val="28"/>
        </w:rPr>
        <w:t>，该指标得满分。</w:t>
      </w:r>
    </w:p>
    <w:p w:rsidR="00F55CEE" w:rsidRDefault="001145CC">
      <w:pPr>
        <w:pStyle w:val="a0"/>
        <w:spacing w:line="360" w:lineRule="auto"/>
        <w:ind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C201</w:t>
      </w:r>
      <w:r>
        <w:rPr>
          <w:rFonts w:ascii="仿宋_GB2312" w:eastAsia="仿宋_GB2312" w:hAnsi="仿宋_GB2312" w:cs="仿宋_GB2312" w:hint="eastAsia"/>
          <w:b/>
          <w:bCs/>
          <w:sz w:val="28"/>
          <w:szCs w:val="28"/>
        </w:rPr>
        <w:t>项目验收合格率：</w:t>
      </w:r>
      <w:r>
        <w:rPr>
          <w:rFonts w:ascii="仿宋_GB2312" w:eastAsia="仿宋_GB2312" w:hAnsi="仿宋_GB2312" w:cs="仿宋_GB2312" w:hint="eastAsia"/>
          <w:sz w:val="28"/>
          <w:szCs w:val="28"/>
        </w:rPr>
        <w:t>该指标考察项目是否验收合格。</w:t>
      </w:r>
    </w:p>
    <w:p w:rsidR="00F55CEE" w:rsidRDefault="001145CC">
      <w:pPr>
        <w:pStyle w:val="a0"/>
        <w:spacing w:line="360" w:lineRule="auto"/>
        <w:ind w:firstLine="560"/>
        <w:jc w:val="left"/>
        <w:rPr>
          <w:rFonts w:ascii="仿宋_GB2312" w:eastAsia="仿宋_GB2312" w:hAnsi="仿宋_GB2312" w:cs="仿宋_GB2312"/>
          <w:color w:val="333333"/>
          <w:sz w:val="28"/>
          <w:szCs w:val="28"/>
        </w:rPr>
      </w:pPr>
      <w:r>
        <w:rPr>
          <w:rFonts w:ascii="仿宋_GB2312" w:eastAsia="仿宋_GB2312" w:hAnsi="仿宋_GB2312" w:cs="仿宋_GB2312" w:hint="eastAsia"/>
          <w:color w:val="333333"/>
          <w:sz w:val="28"/>
          <w:szCs w:val="28"/>
        </w:rPr>
        <w:t>经过实地查看、测量，杨家庄</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龙洞段一期工程项目于</w:t>
      </w:r>
      <w:r>
        <w:rPr>
          <w:rFonts w:ascii="仿宋_GB2312" w:eastAsia="仿宋_GB2312" w:hAnsi="仿宋_GB2312" w:cs="仿宋_GB2312" w:hint="eastAsia"/>
          <w:color w:val="333333"/>
          <w:sz w:val="28"/>
          <w:szCs w:val="28"/>
        </w:rPr>
        <w:t>2019</w:t>
      </w:r>
      <w:r>
        <w:rPr>
          <w:rFonts w:ascii="仿宋_GB2312" w:eastAsia="仿宋_GB2312" w:hAnsi="仿宋_GB2312" w:cs="仿宋_GB2312" w:hint="eastAsia"/>
          <w:color w:val="333333"/>
          <w:sz w:val="28"/>
          <w:szCs w:val="28"/>
        </w:rPr>
        <w:t>年</w:t>
      </w:r>
      <w:r>
        <w:rPr>
          <w:rFonts w:ascii="仿宋_GB2312" w:eastAsia="仿宋_GB2312" w:hAnsi="仿宋_GB2312" w:cs="仿宋_GB2312" w:hint="eastAsia"/>
          <w:color w:val="333333"/>
          <w:sz w:val="28"/>
          <w:szCs w:val="28"/>
        </w:rPr>
        <w:t>11</w:t>
      </w:r>
      <w:r>
        <w:rPr>
          <w:rFonts w:ascii="仿宋_GB2312" w:eastAsia="仿宋_GB2312" w:hAnsi="仿宋_GB2312" w:cs="仿宋_GB2312" w:hint="eastAsia"/>
          <w:color w:val="333333"/>
          <w:sz w:val="28"/>
          <w:szCs w:val="28"/>
        </w:rPr>
        <w:t>月</w:t>
      </w:r>
      <w:r>
        <w:rPr>
          <w:rFonts w:ascii="仿宋_GB2312" w:eastAsia="仿宋_GB2312" w:hAnsi="仿宋_GB2312" w:cs="仿宋_GB2312" w:hint="eastAsia"/>
          <w:color w:val="333333"/>
          <w:sz w:val="28"/>
          <w:szCs w:val="28"/>
        </w:rPr>
        <w:t>25</w:t>
      </w:r>
      <w:r>
        <w:rPr>
          <w:rFonts w:ascii="仿宋_GB2312" w:eastAsia="仿宋_GB2312" w:hAnsi="仿宋_GB2312" w:cs="仿宋_GB2312" w:hint="eastAsia"/>
          <w:color w:val="333333"/>
          <w:sz w:val="28"/>
          <w:szCs w:val="28"/>
        </w:rPr>
        <w:t>日完成交工验收，主要工程量为：挖方</w:t>
      </w:r>
      <w:r>
        <w:rPr>
          <w:rFonts w:ascii="仿宋_GB2312" w:eastAsia="仿宋_GB2312" w:hAnsi="仿宋_GB2312" w:cs="仿宋_GB2312" w:hint="eastAsia"/>
          <w:color w:val="333333"/>
          <w:sz w:val="28"/>
          <w:szCs w:val="28"/>
        </w:rPr>
        <w:t>311988m3</w:t>
      </w:r>
      <w:r>
        <w:rPr>
          <w:rFonts w:ascii="仿宋_GB2312" w:eastAsia="仿宋_GB2312" w:hAnsi="仿宋_GB2312" w:cs="仿宋_GB2312" w:hint="eastAsia"/>
          <w:color w:val="333333"/>
          <w:sz w:val="28"/>
          <w:szCs w:val="28"/>
        </w:rPr>
        <w:t>，填方</w:t>
      </w:r>
      <w:r>
        <w:rPr>
          <w:rFonts w:ascii="仿宋_GB2312" w:eastAsia="仿宋_GB2312" w:hAnsi="仿宋_GB2312" w:cs="仿宋_GB2312" w:hint="eastAsia"/>
          <w:color w:val="333333"/>
          <w:sz w:val="28"/>
          <w:szCs w:val="28"/>
        </w:rPr>
        <w:t>52372</w:t>
      </w:r>
      <w:r>
        <w:rPr>
          <w:rFonts w:ascii="仿宋_GB2312" w:eastAsia="仿宋_GB2312" w:hAnsi="仿宋_GB2312" w:cs="仿宋_GB2312" w:hint="eastAsia"/>
          <w:color w:val="333333"/>
          <w:sz w:val="28"/>
          <w:szCs w:val="28"/>
        </w:rPr>
        <w:t>㎡，防护及排水工程</w:t>
      </w:r>
      <w:r>
        <w:rPr>
          <w:rFonts w:ascii="仿宋_GB2312" w:eastAsia="仿宋_GB2312" w:hAnsi="仿宋_GB2312" w:cs="仿宋_GB2312" w:hint="eastAsia"/>
          <w:color w:val="333333"/>
          <w:sz w:val="28"/>
          <w:szCs w:val="28"/>
        </w:rPr>
        <w:t>20909</w:t>
      </w:r>
      <w:r>
        <w:rPr>
          <w:rFonts w:ascii="仿宋_GB2312" w:eastAsia="仿宋_GB2312" w:hAnsi="仿宋_GB2312" w:cs="仿宋_GB2312" w:hint="eastAsia"/>
          <w:color w:val="333333"/>
          <w:sz w:val="28"/>
          <w:szCs w:val="28"/>
        </w:rPr>
        <w:t>㎡，水泥稳定碎石底基层厚</w:t>
      </w:r>
      <w:r>
        <w:rPr>
          <w:rFonts w:ascii="仿宋_GB2312" w:eastAsia="仿宋_GB2312" w:hAnsi="仿宋_GB2312" w:cs="仿宋_GB2312" w:hint="eastAsia"/>
          <w:color w:val="333333"/>
          <w:sz w:val="28"/>
          <w:szCs w:val="28"/>
        </w:rPr>
        <w:t>200mm79971</w:t>
      </w:r>
      <w:r>
        <w:rPr>
          <w:rFonts w:ascii="仿宋_GB2312" w:eastAsia="仿宋_GB2312" w:hAnsi="仿宋_GB2312" w:cs="仿宋_GB2312" w:hint="eastAsia"/>
          <w:color w:val="333333"/>
          <w:sz w:val="28"/>
          <w:szCs w:val="28"/>
        </w:rPr>
        <w:t>㎡，水泥稳定碎石基层厚</w:t>
      </w:r>
      <w:r>
        <w:rPr>
          <w:rFonts w:ascii="仿宋_GB2312" w:eastAsia="仿宋_GB2312" w:hAnsi="仿宋_GB2312" w:cs="仿宋_GB2312" w:hint="eastAsia"/>
          <w:color w:val="333333"/>
          <w:sz w:val="28"/>
          <w:szCs w:val="28"/>
        </w:rPr>
        <w:t>180mm82610</w:t>
      </w:r>
      <w:r>
        <w:rPr>
          <w:rFonts w:ascii="仿宋_GB2312" w:eastAsia="仿宋_GB2312" w:hAnsi="仿宋_GB2312" w:cs="仿宋_GB2312" w:hint="eastAsia"/>
          <w:color w:val="333333"/>
          <w:sz w:val="28"/>
          <w:szCs w:val="28"/>
        </w:rPr>
        <w:t>㎡，透层</w:t>
      </w:r>
      <w:r>
        <w:rPr>
          <w:rFonts w:ascii="仿宋_GB2312" w:eastAsia="仿宋_GB2312" w:hAnsi="仿宋_GB2312" w:cs="仿宋_GB2312" w:hint="eastAsia"/>
          <w:color w:val="333333"/>
          <w:sz w:val="28"/>
          <w:szCs w:val="28"/>
        </w:rPr>
        <w:t>81320</w:t>
      </w:r>
      <w:r>
        <w:rPr>
          <w:rFonts w:ascii="仿宋_GB2312" w:eastAsia="仿宋_GB2312" w:hAnsi="仿宋_GB2312" w:cs="仿宋_GB2312" w:hint="eastAsia"/>
          <w:color w:val="333333"/>
          <w:sz w:val="28"/>
          <w:szCs w:val="28"/>
        </w:rPr>
        <w:t>㎡，中粒式沥青混凝土路面厚</w:t>
      </w:r>
      <w:r>
        <w:rPr>
          <w:rFonts w:ascii="仿宋_GB2312" w:eastAsia="仿宋_GB2312" w:hAnsi="仿宋_GB2312" w:cs="仿宋_GB2312" w:hint="eastAsia"/>
          <w:color w:val="333333"/>
          <w:sz w:val="28"/>
          <w:szCs w:val="28"/>
        </w:rPr>
        <w:t>50mm81736</w:t>
      </w:r>
      <w:r>
        <w:rPr>
          <w:rFonts w:ascii="仿宋_GB2312" w:eastAsia="仿宋_GB2312" w:hAnsi="仿宋_GB2312" w:cs="仿宋_GB2312" w:hint="eastAsia"/>
          <w:color w:val="333333"/>
          <w:sz w:val="28"/>
          <w:szCs w:val="28"/>
        </w:rPr>
        <w:t>㎡，石板中桥</w:t>
      </w:r>
      <w:r>
        <w:rPr>
          <w:rFonts w:ascii="仿宋_GB2312" w:eastAsia="仿宋_GB2312" w:hAnsi="仿宋_GB2312" w:cs="仿宋_GB2312" w:hint="eastAsia"/>
          <w:color w:val="333333"/>
          <w:sz w:val="28"/>
          <w:szCs w:val="28"/>
        </w:rPr>
        <w:t>1</w:t>
      </w:r>
      <w:r>
        <w:rPr>
          <w:rFonts w:ascii="仿宋_GB2312" w:eastAsia="仿宋_GB2312" w:hAnsi="仿宋_GB2312" w:cs="仿宋_GB2312" w:hint="eastAsia"/>
          <w:color w:val="333333"/>
          <w:sz w:val="28"/>
          <w:szCs w:val="28"/>
        </w:rPr>
        <w:t>座长</w:t>
      </w:r>
      <w:r>
        <w:rPr>
          <w:rFonts w:ascii="仿宋_GB2312" w:eastAsia="仿宋_GB2312" w:hAnsi="仿宋_GB2312" w:cs="仿宋_GB2312" w:hint="eastAsia"/>
          <w:color w:val="333333"/>
          <w:sz w:val="28"/>
          <w:szCs w:val="28"/>
        </w:rPr>
        <w:t>52.08m</w:t>
      </w:r>
      <w:r>
        <w:rPr>
          <w:rFonts w:ascii="仿宋_GB2312" w:eastAsia="仿宋_GB2312" w:hAnsi="仿宋_GB2312" w:cs="仿宋_GB2312" w:hint="eastAsia"/>
          <w:color w:val="333333"/>
          <w:sz w:val="28"/>
          <w:szCs w:val="28"/>
        </w:rPr>
        <w:t>，钢筋混凝土盖板涵接长</w:t>
      </w:r>
      <w:r>
        <w:rPr>
          <w:rFonts w:ascii="仿宋_GB2312" w:eastAsia="仿宋_GB2312" w:hAnsi="仿宋_GB2312" w:cs="仿宋_GB2312" w:hint="eastAsia"/>
          <w:color w:val="333333"/>
          <w:sz w:val="28"/>
          <w:szCs w:val="28"/>
        </w:rPr>
        <w:t>41.85m</w:t>
      </w:r>
      <w:r>
        <w:rPr>
          <w:rFonts w:ascii="仿宋_GB2312" w:eastAsia="仿宋_GB2312" w:hAnsi="仿宋_GB2312" w:cs="仿宋_GB2312" w:hint="eastAsia"/>
          <w:color w:val="333333"/>
          <w:sz w:val="28"/>
          <w:szCs w:val="28"/>
        </w:rPr>
        <w:t>，拱涵接长</w:t>
      </w:r>
      <w:r>
        <w:rPr>
          <w:rFonts w:ascii="仿宋_GB2312" w:eastAsia="仿宋_GB2312" w:hAnsi="仿宋_GB2312" w:cs="仿宋_GB2312" w:hint="eastAsia"/>
          <w:color w:val="333333"/>
          <w:sz w:val="28"/>
          <w:szCs w:val="28"/>
        </w:rPr>
        <w:t>5.8m</w:t>
      </w:r>
      <w:r>
        <w:rPr>
          <w:rFonts w:ascii="仿宋_GB2312" w:eastAsia="仿宋_GB2312" w:hAnsi="仿宋_GB2312" w:cs="仿宋_GB2312" w:hint="eastAsia"/>
          <w:color w:val="333333"/>
          <w:sz w:val="28"/>
          <w:szCs w:val="28"/>
        </w:rPr>
        <w:t>，钢筋混凝土圆管涵</w:t>
      </w:r>
      <w:r>
        <w:rPr>
          <w:rFonts w:ascii="仿宋_GB2312" w:eastAsia="仿宋_GB2312" w:hAnsi="仿宋_GB2312" w:cs="仿宋_GB2312" w:hint="eastAsia"/>
          <w:color w:val="333333"/>
          <w:sz w:val="28"/>
          <w:szCs w:val="28"/>
        </w:rPr>
        <w:t>90m</w:t>
      </w:r>
      <w:r>
        <w:rPr>
          <w:rFonts w:ascii="仿宋_GB2312" w:eastAsia="仿宋_GB2312" w:hAnsi="仿宋_GB2312" w:cs="仿宋_GB2312" w:hint="eastAsia"/>
          <w:color w:val="333333"/>
          <w:sz w:val="28"/>
          <w:szCs w:val="28"/>
        </w:rPr>
        <w:t>，钢波纹管涵长</w:t>
      </w:r>
      <w:r>
        <w:rPr>
          <w:rFonts w:ascii="仿宋_GB2312" w:eastAsia="仿宋_GB2312" w:hAnsi="仿宋_GB2312" w:cs="仿宋_GB2312" w:hint="eastAsia"/>
          <w:color w:val="333333"/>
          <w:sz w:val="28"/>
          <w:szCs w:val="28"/>
        </w:rPr>
        <w:t>88m</w:t>
      </w:r>
      <w:r>
        <w:rPr>
          <w:rFonts w:ascii="仿宋_GB2312" w:eastAsia="仿宋_GB2312" w:hAnsi="仿宋_GB2312" w:cs="仿宋_GB2312" w:hint="eastAsia"/>
          <w:color w:val="333333"/>
          <w:sz w:val="28"/>
          <w:szCs w:val="28"/>
        </w:rPr>
        <w:t>，护栏</w:t>
      </w:r>
      <w:r>
        <w:rPr>
          <w:rFonts w:ascii="仿宋_GB2312" w:eastAsia="仿宋_GB2312" w:hAnsi="仿宋_GB2312" w:cs="仿宋_GB2312" w:hint="eastAsia"/>
          <w:color w:val="333333"/>
          <w:sz w:val="28"/>
          <w:szCs w:val="28"/>
        </w:rPr>
        <w:t>4036m</w:t>
      </w:r>
      <w:r>
        <w:rPr>
          <w:rFonts w:ascii="仿宋_GB2312" w:eastAsia="仿宋_GB2312" w:hAnsi="仿宋_GB2312" w:cs="仿宋_GB2312" w:hint="eastAsia"/>
          <w:color w:val="333333"/>
          <w:sz w:val="28"/>
          <w:szCs w:val="28"/>
        </w:rPr>
        <w:t>，交通标志</w:t>
      </w:r>
      <w:r>
        <w:rPr>
          <w:rFonts w:ascii="仿宋_GB2312" w:eastAsia="仿宋_GB2312" w:hAnsi="仿宋_GB2312" w:cs="仿宋_GB2312" w:hint="eastAsia"/>
          <w:color w:val="333333"/>
          <w:sz w:val="28"/>
          <w:szCs w:val="28"/>
        </w:rPr>
        <w:t>40</w:t>
      </w:r>
      <w:r>
        <w:rPr>
          <w:rFonts w:ascii="仿宋_GB2312" w:eastAsia="仿宋_GB2312" w:hAnsi="仿宋_GB2312" w:cs="仿宋_GB2312" w:hint="eastAsia"/>
          <w:color w:val="333333"/>
          <w:sz w:val="28"/>
          <w:szCs w:val="28"/>
        </w:rPr>
        <w:t>个，里程碑</w:t>
      </w:r>
      <w:r>
        <w:rPr>
          <w:rFonts w:ascii="仿宋_GB2312" w:eastAsia="仿宋_GB2312" w:hAnsi="仿宋_GB2312" w:cs="仿宋_GB2312" w:hint="eastAsia"/>
          <w:color w:val="333333"/>
          <w:sz w:val="28"/>
          <w:szCs w:val="28"/>
        </w:rPr>
        <w:t>12</w:t>
      </w:r>
      <w:r>
        <w:rPr>
          <w:rFonts w:ascii="仿宋_GB2312" w:eastAsia="仿宋_GB2312" w:hAnsi="仿宋_GB2312" w:cs="仿宋_GB2312" w:hint="eastAsia"/>
          <w:color w:val="333333"/>
          <w:sz w:val="28"/>
          <w:szCs w:val="28"/>
        </w:rPr>
        <w:t>个，百米桩</w:t>
      </w:r>
      <w:r>
        <w:rPr>
          <w:rFonts w:ascii="仿宋_GB2312" w:eastAsia="仿宋_GB2312" w:hAnsi="仿宋_GB2312" w:cs="仿宋_GB2312" w:hint="eastAsia"/>
          <w:color w:val="333333"/>
          <w:sz w:val="28"/>
          <w:szCs w:val="28"/>
        </w:rPr>
        <w:t>111</w:t>
      </w:r>
      <w:r>
        <w:rPr>
          <w:rFonts w:ascii="仿宋_GB2312" w:eastAsia="仿宋_GB2312" w:hAnsi="仿宋_GB2312" w:cs="仿宋_GB2312" w:hint="eastAsia"/>
          <w:color w:val="333333"/>
          <w:sz w:val="28"/>
          <w:szCs w:val="28"/>
        </w:rPr>
        <w:t>个，道口标注</w:t>
      </w:r>
      <w:r>
        <w:rPr>
          <w:rFonts w:ascii="仿宋_GB2312" w:eastAsia="仿宋_GB2312" w:hAnsi="仿宋_GB2312" w:cs="仿宋_GB2312" w:hint="eastAsia"/>
          <w:color w:val="333333"/>
          <w:sz w:val="28"/>
          <w:szCs w:val="28"/>
        </w:rPr>
        <w:t>13</w:t>
      </w:r>
      <w:r>
        <w:rPr>
          <w:rFonts w:ascii="仿宋_GB2312" w:eastAsia="仿宋_GB2312" w:hAnsi="仿宋_GB2312" w:cs="仿宋_GB2312" w:hint="eastAsia"/>
          <w:color w:val="333333"/>
          <w:sz w:val="28"/>
          <w:szCs w:val="28"/>
        </w:rPr>
        <w:t>2</w:t>
      </w:r>
      <w:r>
        <w:rPr>
          <w:rFonts w:ascii="仿宋_GB2312" w:eastAsia="仿宋_GB2312" w:hAnsi="仿宋_GB2312" w:cs="仿宋_GB2312" w:hint="eastAsia"/>
          <w:color w:val="333333"/>
          <w:sz w:val="28"/>
          <w:szCs w:val="28"/>
        </w:rPr>
        <w:t>个，路面标线</w:t>
      </w:r>
      <w:r>
        <w:rPr>
          <w:rFonts w:ascii="仿宋_GB2312" w:eastAsia="仿宋_GB2312" w:hAnsi="仿宋_GB2312" w:cs="仿宋_GB2312" w:hint="eastAsia"/>
          <w:color w:val="333333"/>
          <w:sz w:val="28"/>
          <w:szCs w:val="28"/>
        </w:rPr>
        <w:t>1222.551m2</w:t>
      </w:r>
      <w:r>
        <w:rPr>
          <w:rFonts w:ascii="仿宋_GB2312" w:eastAsia="仿宋_GB2312" w:hAnsi="仿宋_GB2312" w:cs="仿宋_GB2312" w:hint="eastAsia"/>
          <w:color w:val="333333"/>
          <w:sz w:val="28"/>
          <w:szCs w:val="28"/>
        </w:rPr>
        <w:t>，撒播草种</w:t>
      </w:r>
      <w:r>
        <w:rPr>
          <w:rFonts w:ascii="仿宋_GB2312" w:eastAsia="仿宋_GB2312" w:hAnsi="仿宋_GB2312" w:cs="仿宋_GB2312" w:hint="eastAsia"/>
          <w:color w:val="333333"/>
          <w:sz w:val="28"/>
          <w:szCs w:val="28"/>
        </w:rPr>
        <w:t>58733.5</w:t>
      </w:r>
      <w:r>
        <w:rPr>
          <w:rFonts w:ascii="仿宋_GB2312" w:eastAsia="仿宋_GB2312" w:hAnsi="仿宋_GB2312" w:cs="仿宋_GB2312" w:hint="eastAsia"/>
          <w:color w:val="333333"/>
          <w:sz w:val="28"/>
          <w:szCs w:val="28"/>
        </w:rPr>
        <w:t>㎡及其他工程等。工程均按照三级公路技术标准维修、改建；路面长度、宽度合格率</w:t>
      </w:r>
      <w:r>
        <w:rPr>
          <w:rFonts w:ascii="仿宋_GB2312" w:eastAsia="仿宋_GB2312" w:hAnsi="仿宋_GB2312" w:cs="仿宋_GB2312" w:hint="eastAsia"/>
          <w:color w:val="333333"/>
          <w:sz w:val="28"/>
          <w:szCs w:val="28"/>
        </w:rPr>
        <w:t>100%</w:t>
      </w:r>
      <w:r>
        <w:rPr>
          <w:rFonts w:ascii="仿宋_GB2312" w:eastAsia="仿宋_GB2312" w:hAnsi="仿宋_GB2312" w:cs="仿宋_GB2312" w:hint="eastAsia"/>
          <w:color w:val="333333"/>
          <w:sz w:val="28"/>
          <w:szCs w:val="28"/>
        </w:rPr>
        <w:t>。</w:t>
      </w:r>
    </w:p>
    <w:p w:rsidR="00F55CEE" w:rsidRDefault="001145CC">
      <w:pPr>
        <w:pStyle w:val="a0"/>
        <w:spacing w:line="360" w:lineRule="auto"/>
        <w:ind w:firstLine="560"/>
      </w:pPr>
      <w:r>
        <w:rPr>
          <w:rFonts w:ascii="仿宋_GB2312" w:eastAsia="仿宋_GB2312" w:hAnsi="仿宋_GB2312" w:cs="仿宋_GB2312" w:hint="eastAsia"/>
          <w:color w:val="333333"/>
          <w:sz w:val="28"/>
          <w:szCs w:val="28"/>
        </w:rPr>
        <w:t>该项目</w:t>
      </w:r>
      <w:r>
        <w:rPr>
          <w:rFonts w:ascii="仿宋_GB2312" w:eastAsia="仿宋_GB2312" w:hAnsi="仿宋_GB2312" w:cs="仿宋_GB2312" w:hint="eastAsia"/>
          <w:color w:val="333333"/>
          <w:sz w:val="28"/>
          <w:szCs w:val="28"/>
        </w:rPr>
        <w:t>港东</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白岩寺段、北泉寨</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后家滩段、西井</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板山段</w:t>
      </w:r>
      <w:r>
        <w:rPr>
          <w:rFonts w:ascii="仿宋_GB2312" w:eastAsia="仿宋_GB2312" w:hAnsi="仿宋_GB2312" w:cs="仿宋_GB2312" w:hint="eastAsia"/>
          <w:color w:val="333333"/>
          <w:sz w:val="28"/>
          <w:szCs w:val="28"/>
        </w:rPr>
        <w:t>各路段工程建设基本完成，</w:t>
      </w:r>
      <w:r>
        <w:rPr>
          <w:rFonts w:ascii="仿宋_GB2312" w:eastAsia="仿宋_GB2312" w:hAnsi="仿宋_GB2312" w:cs="仿宋_GB2312" w:hint="eastAsia"/>
          <w:color w:val="333333"/>
          <w:sz w:val="28"/>
          <w:szCs w:val="28"/>
        </w:rPr>
        <w:t>尚未</w:t>
      </w:r>
      <w:r>
        <w:rPr>
          <w:rFonts w:ascii="仿宋_GB2312" w:eastAsia="仿宋_GB2312" w:hAnsi="仿宋_GB2312" w:cs="仿宋_GB2312" w:hint="eastAsia"/>
          <w:color w:val="333333"/>
          <w:sz w:val="28"/>
          <w:szCs w:val="28"/>
        </w:rPr>
        <w:t>进行验收。</w:t>
      </w:r>
      <w:r>
        <w:rPr>
          <w:rFonts w:ascii="仿宋_GB2312" w:eastAsia="仿宋_GB2312" w:hAnsi="仿宋_GB2312" w:cs="仿宋_GB2312" w:hint="eastAsia"/>
          <w:color w:val="333333"/>
          <w:sz w:val="28"/>
          <w:szCs w:val="28"/>
        </w:rPr>
        <w:t>因此，该项指标得</w:t>
      </w:r>
      <w:r>
        <w:rPr>
          <w:rFonts w:ascii="仿宋_GB2312" w:eastAsia="仿宋_GB2312" w:hAnsi="仿宋_GB2312" w:cs="仿宋_GB2312" w:hint="eastAsia"/>
          <w:color w:val="333333"/>
          <w:sz w:val="28"/>
          <w:szCs w:val="28"/>
        </w:rPr>
        <w:t>2</w:t>
      </w:r>
      <w:r>
        <w:rPr>
          <w:rFonts w:ascii="仿宋_GB2312" w:eastAsia="仿宋_GB2312" w:hAnsi="仿宋_GB2312" w:cs="仿宋_GB2312" w:hint="eastAsia"/>
          <w:color w:val="333333"/>
          <w:sz w:val="28"/>
          <w:szCs w:val="28"/>
        </w:rPr>
        <w:t>分。</w:t>
      </w:r>
    </w:p>
    <w:p w:rsidR="00F55CEE" w:rsidRDefault="001145CC">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b/>
          <w:bCs/>
          <w:sz w:val="28"/>
          <w:szCs w:val="28"/>
        </w:rPr>
        <w:t>C301</w:t>
      </w:r>
      <w:r>
        <w:rPr>
          <w:rFonts w:ascii="仿宋_GB2312" w:eastAsia="仿宋_GB2312" w:hAnsi="仿宋_GB2312" w:cs="仿宋_GB2312"/>
          <w:b/>
          <w:bCs/>
          <w:sz w:val="28"/>
          <w:szCs w:val="28"/>
        </w:rPr>
        <w:t>道路建设开</w:t>
      </w:r>
      <w:r>
        <w:rPr>
          <w:rFonts w:ascii="仿宋_GB2312" w:eastAsia="仿宋_GB2312" w:hAnsi="仿宋_GB2312" w:cs="仿宋_GB2312" w:hint="eastAsia"/>
          <w:b/>
          <w:bCs/>
          <w:sz w:val="28"/>
          <w:szCs w:val="28"/>
        </w:rPr>
        <w:t>工</w:t>
      </w:r>
      <w:r>
        <w:rPr>
          <w:rFonts w:ascii="仿宋_GB2312" w:eastAsia="仿宋_GB2312" w:hAnsi="仿宋_GB2312" w:cs="仿宋_GB2312"/>
          <w:b/>
          <w:bCs/>
          <w:sz w:val="28"/>
          <w:szCs w:val="28"/>
        </w:rPr>
        <w:t>准时率</w:t>
      </w:r>
      <w:r>
        <w:rPr>
          <w:rFonts w:ascii="仿宋_GB2312" w:eastAsia="仿宋_GB2312" w:hAnsi="仿宋_GB2312" w:cs="仿宋_GB2312" w:hint="eastAsia"/>
          <w:b/>
          <w:bCs/>
          <w:sz w:val="28"/>
          <w:szCs w:val="28"/>
        </w:rPr>
        <w:t>：</w:t>
      </w:r>
      <w:r>
        <w:rPr>
          <w:rFonts w:ascii="仿宋_GB2312" w:eastAsia="仿宋_GB2312" w:hAnsi="仿宋_GB2312" w:cs="仿宋_GB2312" w:hint="eastAsia"/>
          <w:sz w:val="28"/>
          <w:szCs w:val="28"/>
        </w:rPr>
        <w:t>该指标考察项目是否及时开工。</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按照项目《项目施工合同》约定的工期，港东</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白岩寺段项目应当于</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月开工，</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月完工；北泉寨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后家滩段工程应于</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月开工，</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月完工；杨家庄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龙洞段工程应于资</w:t>
      </w:r>
      <w:r>
        <w:rPr>
          <w:rFonts w:ascii="仿宋_GB2312" w:eastAsia="仿宋_GB2312" w:hAnsi="仿宋_GB2312" w:cs="仿宋_GB2312" w:hint="eastAsia"/>
          <w:sz w:val="28"/>
          <w:szCs w:val="28"/>
        </w:rPr>
        <w:lastRenderedPageBreak/>
        <w:t>金到位后</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日开工，建设期</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年；西井</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板山段工程应于</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月开工，</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月完工。经查阅项目相关开工报告和资料显示，各路段项目均在计划时间内正式开工，严格按照合同约定时间开展工作，该指标得满分。</w:t>
      </w:r>
    </w:p>
    <w:p w:rsidR="00F55CEE" w:rsidRDefault="001145CC">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C302</w:t>
      </w:r>
      <w:r>
        <w:rPr>
          <w:rFonts w:ascii="仿宋_GB2312" w:eastAsia="仿宋_GB2312" w:hAnsi="仿宋_GB2312" w:cs="仿宋_GB2312" w:hint="eastAsia"/>
          <w:b/>
          <w:bCs/>
          <w:sz w:val="28"/>
          <w:szCs w:val="28"/>
        </w:rPr>
        <w:t>道路建设完工及时率</w:t>
      </w:r>
      <w:r>
        <w:rPr>
          <w:rFonts w:ascii="仿宋_GB2312" w:eastAsia="仿宋_GB2312" w:hAnsi="仿宋_GB2312" w:cs="仿宋_GB2312" w:hint="eastAsia"/>
          <w:b/>
          <w:bCs/>
          <w:sz w:val="28"/>
          <w:szCs w:val="28"/>
        </w:rPr>
        <w:t>:</w:t>
      </w:r>
      <w:r>
        <w:rPr>
          <w:rFonts w:ascii="仿宋_GB2312" w:eastAsia="仿宋_GB2312" w:hAnsi="仿宋_GB2312" w:cs="仿宋_GB2312" w:hint="eastAsia"/>
          <w:sz w:val="28"/>
          <w:szCs w:val="28"/>
        </w:rPr>
        <w:t>该指标考察项目是否及时完工。</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年三大板块旅游公路工程项目共</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条路段项目，其中已</w:t>
      </w:r>
      <w:r>
        <w:rPr>
          <w:rFonts w:ascii="仿宋_GB2312" w:eastAsia="仿宋_GB2312" w:hAnsi="仿宋_GB2312" w:cs="仿宋_GB2312" w:hint="eastAsia"/>
          <w:sz w:val="28"/>
          <w:szCs w:val="28"/>
        </w:rPr>
        <w:t>完工</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条路段。项目工程内容完工率</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已完工项目数量</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计划完工项目数量</w:t>
      </w:r>
      <w:r>
        <w:rPr>
          <w:rFonts w:ascii="仿宋_GB2312" w:eastAsia="仿宋_GB2312" w:hAnsi="仿宋_GB2312" w:cs="仿宋_GB2312" w:hint="eastAsia"/>
          <w:sz w:val="28"/>
          <w:szCs w:val="28"/>
        </w:rPr>
        <w:t>*100%=4/4*100%=75%</w:t>
      </w:r>
      <w:r>
        <w:rPr>
          <w:rFonts w:ascii="仿宋_GB2312" w:eastAsia="仿宋_GB2312" w:hAnsi="仿宋_GB2312" w:cs="仿宋_GB2312" w:hint="eastAsia"/>
          <w:sz w:val="28"/>
          <w:szCs w:val="28"/>
        </w:rPr>
        <w:t>，故该指标得满分。</w:t>
      </w:r>
    </w:p>
    <w:p w:rsidR="00F55CEE" w:rsidRDefault="001145CC">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D401</w:t>
      </w:r>
      <w:r>
        <w:rPr>
          <w:rFonts w:ascii="仿宋_GB2312" w:eastAsia="仿宋_GB2312" w:hAnsi="仿宋_GB2312" w:cs="仿宋_GB2312" w:hint="eastAsia"/>
          <w:b/>
          <w:bCs/>
          <w:sz w:val="28"/>
          <w:szCs w:val="28"/>
        </w:rPr>
        <w:t>项目成本节约率</w:t>
      </w:r>
      <w:r>
        <w:rPr>
          <w:rFonts w:ascii="仿宋_GB2312" w:eastAsia="仿宋_GB2312" w:hAnsi="仿宋_GB2312" w:cs="仿宋_GB2312" w:hint="eastAsia"/>
          <w:b/>
          <w:bCs/>
          <w:sz w:val="28"/>
          <w:szCs w:val="28"/>
        </w:rPr>
        <w:t>:</w:t>
      </w:r>
      <w:r>
        <w:rPr>
          <w:rFonts w:ascii="仿宋_GB2312" w:eastAsia="仿宋_GB2312" w:hAnsi="仿宋_GB2312" w:cs="仿宋_GB2312" w:hint="eastAsia"/>
          <w:sz w:val="28"/>
          <w:szCs w:val="28"/>
        </w:rPr>
        <w:t>该指标考察项目成本节约情况。</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年三大板块旅游公路工程项目共</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条路段项目，其中已完工</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条路段。截至目前，杨家庄</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龙洞段一期工程正处于工程结算审计阶段，其他路段尚未进行竣工验收，均未进行决算，故该指标无法考核。</w:t>
      </w:r>
    </w:p>
    <w:p w:rsidR="00F55CEE" w:rsidRDefault="001145CC">
      <w:pPr>
        <w:pStyle w:val="2"/>
        <w:spacing w:before="0" w:line="360" w:lineRule="auto"/>
        <w:ind w:firstLineChars="200" w:firstLine="560"/>
        <w:rPr>
          <w:rFonts w:ascii="楷体_GB2312" w:eastAsia="楷体_GB2312" w:hAnsi="楷体_GB2312" w:cs="楷体_GB2312"/>
          <w:b w:val="0"/>
          <w:bCs w:val="0"/>
          <w:sz w:val="28"/>
          <w:szCs w:val="28"/>
        </w:rPr>
      </w:pPr>
      <w:bookmarkStart w:id="177" w:name="_Toc3781"/>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四</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效益</w:t>
      </w:r>
      <w:bookmarkStart w:id="178" w:name="_Toc13172"/>
      <w:bookmarkStart w:id="179" w:name="_Toc7998"/>
      <w:bookmarkStart w:id="180" w:name="_Toc11473"/>
      <w:bookmarkStart w:id="181" w:name="_Toc10603"/>
      <w:bookmarkStart w:id="182" w:name="_Toc30982"/>
      <w:bookmarkStart w:id="183" w:name="_Toc5558"/>
      <w:bookmarkStart w:id="184" w:name="_Toc25526"/>
      <w:bookmarkStart w:id="185" w:name="_Toc6737"/>
      <w:bookmarkStart w:id="186" w:name="_Toc24436"/>
      <w:bookmarkStart w:id="187" w:name="_Toc23336"/>
      <w:r>
        <w:rPr>
          <w:rFonts w:ascii="楷体_GB2312" w:eastAsia="楷体_GB2312" w:hAnsi="楷体_GB2312" w:cs="楷体_GB2312" w:hint="eastAsia"/>
          <w:b w:val="0"/>
          <w:bCs w:val="0"/>
          <w:sz w:val="28"/>
          <w:szCs w:val="28"/>
        </w:rPr>
        <w:t>指标分析</w:t>
      </w:r>
      <w:bookmarkEnd w:id="177"/>
    </w:p>
    <w:p w:rsidR="00F55CEE" w:rsidRDefault="001145CC">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rPr>
        <w:t>效益</w:t>
      </w:r>
      <w:r>
        <w:rPr>
          <w:rFonts w:ascii="仿宋_GB2312" w:eastAsia="仿宋_GB2312" w:hAnsi="仿宋_GB2312" w:cs="仿宋_GB2312" w:hint="eastAsia"/>
          <w:sz w:val="28"/>
          <w:szCs w:val="28"/>
          <w:lang w:val="zh-CN"/>
        </w:rPr>
        <w:t>情况从</w:t>
      </w:r>
      <w:r>
        <w:rPr>
          <w:rFonts w:ascii="仿宋_GB2312" w:eastAsia="仿宋_GB2312" w:hAnsi="仿宋_GB2312" w:cs="仿宋_GB2312" w:hint="eastAsia"/>
          <w:sz w:val="28"/>
          <w:szCs w:val="28"/>
        </w:rPr>
        <w:t>经济、社会、可持续性、群众满意度四个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25</w:t>
      </w:r>
      <w:r>
        <w:rPr>
          <w:rFonts w:ascii="仿宋_GB2312" w:eastAsia="仿宋_GB2312" w:hAnsi="仿宋_GB2312" w:cs="仿宋_GB2312" w:hint="eastAsia"/>
          <w:sz w:val="28"/>
          <w:szCs w:val="28"/>
          <w:lang w:val="zh-CN"/>
        </w:rPr>
        <w:t>分，实际得分</w:t>
      </w:r>
      <w:r>
        <w:rPr>
          <w:rFonts w:ascii="仿宋_GB2312" w:eastAsia="仿宋_GB2312" w:hAnsi="仿宋_GB2312" w:cs="仿宋_GB2312" w:hint="eastAsia"/>
          <w:sz w:val="28"/>
          <w:szCs w:val="28"/>
        </w:rPr>
        <w:t>23</w:t>
      </w:r>
      <w:r>
        <w:rPr>
          <w:rFonts w:ascii="仿宋_GB2312" w:eastAsia="仿宋_GB2312" w:hAnsi="仿宋_GB2312" w:cs="仿宋_GB2312" w:hint="eastAsia"/>
          <w:sz w:val="28"/>
          <w:szCs w:val="28"/>
          <w:lang w:val="zh-CN"/>
        </w:rPr>
        <w:t>分。指标的得分情况如下表所示。</w:t>
      </w:r>
    </w:p>
    <w:p w:rsidR="00F55CEE" w:rsidRDefault="001145CC">
      <w:pPr>
        <w:spacing w:line="360" w:lineRule="auto"/>
        <w:jc w:val="center"/>
        <w:rPr>
          <w:rFonts w:ascii="仿宋_GB2312" w:eastAsia="仿宋_GB2312" w:hAnsi="仿宋_GB2312" w:cs="仿宋_GB2312"/>
          <w:b/>
          <w:bCs/>
          <w:sz w:val="24"/>
        </w:rPr>
      </w:pPr>
      <w:r>
        <w:rPr>
          <w:rFonts w:ascii="仿宋_GB2312" w:eastAsia="仿宋_GB2312" w:hAnsi="仿宋_GB2312" w:cs="仿宋_GB2312" w:hint="eastAsia"/>
          <w:b/>
          <w:bCs/>
          <w:sz w:val="24"/>
        </w:rPr>
        <w:t>表</w:t>
      </w:r>
      <w:r>
        <w:rPr>
          <w:rFonts w:ascii="仿宋_GB2312" w:eastAsia="仿宋_GB2312" w:hAnsi="仿宋_GB2312" w:cs="仿宋_GB2312" w:hint="eastAsia"/>
          <w:b/>
          <w:bCs/>
          <w:sz w:val="24"/>
        </w:rPr>
        <w:t>3-7</w:t>
      </w:r>
      <w:r>
        <w:rPr>
          <w:rFonts w:ascii="仿宋_GB2312" w:eastAsia="仿宋_GB2312" w:hAnsi="仿宋_GB2312" w:cs="仿宋_GB2312" w:hint="eastAsia"/>
          <w:b/>
          <w:bCs/>
          <w:sz w:val="24"/>
        </w:rPr>
        <w:t>：</w:t>
      </w:r>
      <w:r>
        <w:rPr>
          <w:rFonts w:ascii="仿宋_GB2312" w:eastAsia="仿宋_GB2312" w:hAnsi="仿宋_GB2312" w:cs="仿宋_GB2312" w:hint="eastAsia"/>
          <w:b/>
          <w:bCs/>
          <w:sz w:val="24"/>
        </w:rPr>
        <w:t>效益指标得分情况</w:t>
      </w:r>
    </w:p>
    <w:tbl>
      <w:tblPr>
        <w:tblW w:w="8313" w:type="dxa"/>
        <w:tblLayout w:type="fixed"/>
        <w:tblCellMar>
          <w:left w:w="0" w:type="dxa"/>
          <w:right w:w="0" w:type="dxa"/>
        </w:tblCellMar>
        <w:tblLook w:val="04A0"/>
      </w:tblPr>
      <w:tblGrid>
        <w:gridCol w:w="1383"/>
        <w:gridCol w:w="3040"/>
        <w:gridCol w:w="900"/>
        <w:gridCol w:w="730"/>
        <w:gridCol w:w="750"/>
        <w:gridCol w:w="670"/>
        <w:gridCol w:w="840"/>
      </w:tblGrid>
      <w:tr w:rsidR="00F55CEE">
        <w:trPr>
          <w:trHeight w:val="490"/>
        </w:trPr>
        <w:tc>
          <w:tcPr>
            <w:tcW w:w="1383"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F55CEE" w:rsidRDefault="001145CC">
            <w:pPr>
              <w:pStyle w:val="a0"/>
              <w:spacing w:line="240" w:lineRule="exact"/>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二级指标</w:t>
            </w:r>
          </w:p>
        </w:tc>
        <w:tc>
          <w:tcPr>
            <w:tcW w:w="3040" w:type="dxa"/>
            <w:tcBorders>
              <w:top w:val="single" w:sz="4" w:space="0" w:color="000000"/>
              <w:left w:val="single" w:sz="4" w:space="0" w:color="auto"/>
              <w:bottom w:val="single" w:sz="4" w:space="0" w:color="auto"/>
              <w:right w:val="single" w:sz="4" w:space="0" w:color="000000"/>
            </w:tcBorders>
            <w:shd w:val="clear" w:color="auto" w:fill="BEBEBE"/>
            <w:noWrap/>
            <w:tcMar>
              <w:top w:w="10" w:type="dxa"/>
              <w:left w:w="10" w:type="dxa"/>
              <w:right w:w="10" w:type="dxa"/>
            </w:tcMar>
            <w:vAlign w:val="center"/>
          </w:tcPr>
          <w:p w:rsidR="00F55CEE" w:rsidRDefault="001145CC">
            <w:pPr>
              <w:pStyle w:val="a0"/>
              <w:spacing w:line="240" w:lineRule="exact"/>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三级指标</w:t>
            </w:r>
          </w:p>
        </w:tc>
        <w:tc>
          <w:tcPr>
            <w:tcW w:w="900" w:type="dxa"/>
            <w:tcBorders>
              <w:top w:val="single" w:sz="4" w:space="0" w:color="000000"/>
              <w:left w:val="single" w:sz="4" w:space="0" w:color="000000"/>
              <w:bottom w:val="single" w:sz="4" w:space="0" w:color="auto"/>
              <w:right w:val="single" w:sz="4" w:space="0" w:color="000000"/>
            </w:tcBorders>
            <w:shd w:val="clear" w:color="auto" w:fill="BEBEBE"/>
            <w:noWrap/>
            <w:tcMar>
              <w:top w:w="10" w:type="dxa"/>
              <w:left w:w="10" w:type="dxa"/>
              <w:right w:w="10" w:type="dxa"/>
            </w:tcMar>
            <w:vAlign w:val="center"/>
          </w:tcPr>
          <w:p w:rsidR="00F55CEE" w:rsidRDefault="001145CC">
            <w:pPr>
              <w:pStyle w:val="a0"/>
              <w:spacing w:line="240" w:lineRule="exact"/>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权重分</w:t>
            </w:r>
          </w:p>
        </w:tc>
        <w:tc>
          <w:tcPr>
            <w:tcW w:w="730" w:type="dxa"/>
            <w:tcBorders>
              <w:top w:val="single" w:sz="4" w:space="0" w:color="000000"/>
              <w:left w:val="single" w:sz="4" w:space="0" w:color="000000"/>
              <w:bottom w:val="single" w:sz="4" w:space="0" w:color="auto"/>
              <w:right w:val="single" w:sz="4" w:space="0" w:color="000000"/>
            </w:tcBorders>
            <w:shd w:val="clear" w:color="auto" w:fill="BEBEBE"/>
            <w:noWrap/>
            <w:tcMar>
              <w:top w:w="10" w:type="dxa"/>
              <w:left w:w="10" w:type="dxa"/>
              <w:right w:w="10" w:type="dxa"/>
            </w:tcMar>
            <w:vAlign w:val="center"/>
          </w:tcPr>
          <w:p w:rsidR="00F55CEE" w:rsidRDefault="001145CC">
            <w:pPr>
              <w:pStyle w:val="a0"/>
              <w:spacing w:line="240" w:lineRule="exact"/>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目标值</w:t>
            </w:r>
          </w:p>
        </w:tc>
        <w:tc>
          <w:tcPr>
            <w:tcW w:w="750" w:type="dxa"/>
            <w:tcBorders>
              <w:top w:val="single" w:sz="4" w:space="0" w:color="000000"/>
              <w:left w:val="single" w:sz="4" w:space="0" w:color="000000"/>
              <w:bottom w:val="single" w:sz="4" w:space="0" w:color="auto"/>
              <w:right w:val="single" w:sz="4" w:space="0" w:color="000000"/>
            </w:tcBorders>
            <w:shd w:val="clear" w:color="auto" w:fill="BEBEBE"/>
            <w:noWrap/>
            <w:tcMar>
              <w:top w:w="10" w:type="dxa"/>
              <w:left w:w="10" w:type="dxa"/>
              <w:right w:w="10" w:type="dxa"/>
            </w:tcMar>
            <w:vAlign w:val="center"/>
          </w:tcPr>
          <w:p w:rsidR="00F55CEE" w:rsidRDefault="001145CC">
            <w:pPr>
              <w:pStyle w:val="a0"/>
              <w:spacing w:line="240" w:lineRule="exact"/>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业绩值</w:t>
            </w:r>
          </w:p>
        </w:tc>
        <w:tc>
          <w:tcPr>
            <w:tcW w:w="670" w:type="dxa"/>
            <w:tcBorders>
              <w:top w:val="single" w:sz="4" w:space="0" w:color="000000"/>
              <w:left w:val="single" w:sz="4" w:space="0" w:color="000000"/>
              <w:bottom w:val="single" w:sz="4" w:space="0" w:color="auto"/>
              <w:right w:val="single" w:sz="4" w:space="0" w:color="000000"/>
            </w:tcBorders>
            <w:shd w:val="clear" w:color="auto" w:fill="BEBEBE"/>
            <w:noWrap/>
            <w:tcMar>
              <w:top w:w="10" w:type="dxa"/>
              <w:left w:w="10" w:type="dxa"/>
              <w:right w:w="10" w:type="dxa"/>
            </w:tcMar>
            <w:vAlign w:val="center"/>
          </w:tcPr>
          <w:p w:rsidR="00F55CEE" w:rsidRDefault="001145CC">
            <w:pPr>
              <w:pStyle w:val="a0"/>
              <w:spacing w:line="240" w:lineRule="exact"/>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得分率</w:t>
            </w:r>
          </w:p>
        </w:tc>
        <w:tc>
          <w:tcPr>
            <w:tcW w:w="840" w:type="dxa"/>
            <w:tcBorders>
              <w:top w:val="single" w:sz="4" w:space="0" w:color="000000"/>
              <w:left w:val="single" w:sz="4" w:space="0" w:color="000000"/>
              <w:bottom w:val="single" w:sz="4" w:space="0" w:color="auto"/>
              <w:right w:val="single" w:sz="4" w:space="0" w:color="000000"/>
            </w:tcBorders>
            <w:shd w:val="clear" w:color="auto" w:fill="BEBEBE"/>
            <w:noWrap/>
            <w:tcMar>
              <w:top w:w="10" w:type="dxa"/>
              <w:left w:w="10" w:type="dxa"/>
              <w:right w:w="10" w:type="dxa"/>
            </w:tcMar>
            <w:vAlign w:val="center"/>
          </w:tcPr>
          <w:p w:rsidR="00F55CEE" w:rsidRDefault="001145CC">
            <w:pPr>
              <w:pStyle w:val="a0"/>
              <w:spacing w:line="240" w:lineRule="exact"/>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得分</w:t>
            </w:r>
          </w:p>
        </w:tc>
      </w:tr>
      <w:tr w:rsidR="00F55CEE">
        <w:trPr>
          <w:trHeight w:val="426"/>
        </w:trPr>
        <w:tc>
          <w:tcPr>
            <w:tcW w:w="138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D1</w:t>
            </w:r>
            <w:r>
              <w:rPr>
                <w:rFonts w:ascii="楷体_GB2312" w:eastAsia="楷体_GB2312" w:hAnsi="宋体" w:cs="楷体_GB2312" w:hint="eastAsia"/>
                <w:color w:val="000000"/>
                <w:kern w:val="0"/>
                <w:sz w:val="20"/>
                <w:szCs w:val="20"/>
                <w:lang/>
              </w:rPr>
              <w:t>经济效益</w:t>
            </w:r>
          </w:p>
        </w:tc>
        <w:tc>
          <w:tcPr>
            <w:tcW w:w="30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D101</w:t>
            </w:r>
            <w:r>
              <w:rPr>
                <w:rFonts w:ascii="楷体_GB2312" w:eastAsia="楷体_GB2312" w:hAnsi="宋体" w:cs="楷体_GB2312" w:hint="eastAsia"/>
                <w:color w:val="000000"/>
                <w:kern w:val="0"/>
                <w:sz w:val="20"/>
                <w:szCs w:val="20"/>
                <w:lang/>
              </w:rPr>
              <w:t>促进区域经济发展</w:t>
            </w:r>
          </w:p>
        </w:tc>
        <w:tc>
          <w:tcPr>
            <w:tcW w:w="90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6.00</w:t>
            </w:r>
          </w:p>
        </w:tc>
        <w:tc>
          <w:tcPr>
            <w:tcW w:w="73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促进</w:t>
            </w:r>
          </w:p>
        </w:tc>
        <w:tc>
          <w:tcPr>
            <w:tcW w:w="75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促进</w:t>
            </w:r>
          </w:p>
        </w:tc>
        <w:tc>
          <w:tcPr>
            <w:tcW w:w="67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6.00</w:t>
            </w:r>
          </w:p>
        </w:tc>
      </w:tr>
      <w:tr w:rsidR="00F55CEE">
        <w:trPr>
          <w:trHeight w:val="454"/>
        </w:trPr>
        <w:tc>
          <w:tcPr>
            <w:tcW w:w="1383" w:type="dxa"/>
            <w:vMerge w:val="restart"/>
            <w:tcBorders>
              <w:top w:val="single" w:sz="4" w:space="0" w:color="auto"/>
              <w:left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D2</w:t>
            </w:r>
            <w:r>
              <w:rPr>
                <w:rFonts w:ascii="楷体_GB2312" w:eastAsia="楷体_GB2312" w:hAnsi="宋体" w:cs="楷体_GB2312" w:hint="eastAsia"/>
                <w:color w:val="000000"/>
                <w:kern w:val="0"/>
                <w:sz w:val="20"/>
                <w:szCs w:val="20"/>
                <w:lang/>
              </w:rPr>
              <w:t>社会效益</w:t>
            </w:r>
          </w:p>
        </w:tc>
        <w:tc>
          <w:tcPr>
            <w:tcW w:w="30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D201</w:t>
            </w:r>
            <w:r>
              <w:rPr>
                <w:rFonts w:ascii="楷体_GB2312" w:eastAsia="楷体_GB2312" w:hAnsi="宋体" w:cs="楷体_GB2312" w:hint="eastAsia"/>
                <w:color w:val="000000"/>
                <w:kern w:val="0"/>
                <w:sz w:val="20"/>
                <w:szCs w:val="20"/>
                <w:lang/>
              </w:rPr>
              <w:t>完善县城旅游道路网络</w:t>
            </w:r>
          </w:p>
        </w:tc>
        <w:tc>
          <w:tcPr>
            <w:tcW w:w="90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4.00</w:t>
            </w:r>
          </w:p>
        </w:tc>
        <w:tc>
          <w:tcPr>
            <w:tcW w:w="73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完善</w:t>
            </w:r>
          </w:p>
        </w:tc>
        <w:tc>
          <w:tcPr>
            <w:tcW w:w="75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完善</w:t>
            </w:r>
          </w:p>
        </w:tc>
        <w:tc>
          <w:tcPr>
            <w:tcW w:w="67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4.00</w:t>
            </w:r>
          </w:p>
        </w:tc>
      </w:tr>
      <w:tr w:rsidR="00F55CEE">
        <w:trPr>
          <w:trHeight w:val="454"/>
        </w:trPr>
        <w:tc>
          <w:tcPr>
            <w:tcW w:w="1383" w:type="dxa"/>
            <w:vMerge/>
            <w:tcBorders>
              <w:left w:val="single" w:sz="4" w:space="0" w:color="auto"/>
              <w:bottom w:val="single" w:sz="4" w:space="0" w:color="auto"/>
              <w:right w:val="single" w:sz="4" w:space="0" w:color="auto"/>
            </w:tcBorders>
            <w:noWrap/>
            <w:tcMar>
              <w:top w:w="10" w:type="dxa"/>
              <w:left w:w="10" w:type="dxa"/>
              <w:right w:w="10" w:type="dxa"/>
            </w:tcMar>
            <w:vAlign w:val="center"/>
          </w:tcPr>
          <w:p w:rsidR="00F55CEE" w:rsidRDefault="00F55CEE">
            <w:pPr>
              <w:widowControl/>
              <w:spacing w:line="240" w:lineRule="exact"/>
              <w:jc w:val="center"/>
              <w:textAlignment w:val="center"/>
              <w:rPr>
                <w:rFonts w:ascii="楷体_GB2312" w:eastAsia="楷体_GB2312" w:hAnsi="宋体" w:cs="楷体_GB2312"/>
                <w:color w:val="000000"/>
                <w:kern w:val="0"/>
                <w:sz w:val="20"/>
                <w:szCs w:val="20"/>
                <w:lang/>
              </w:rPr>
            </w:pPr>
          </w:p>
        </w:tc>
        <w:tc>
          <w:tcPr>
            <w:tcW w:w="30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D202</w:t>
            </w:r>
            <w:r>
              <w:rPr>
                <w:rFonts w:ascii="楷体_GB2312" w:eastAsia="楷体_GB2312" w:hAnsi="宋体" w:cs="楷体_GB2312" w:hint="eastAsia"/>
                <w:color w:val="000000"/>
                <w:kern w:val="0"/>
                <w:sz w:val="20"/>
                <w:szCs w:val="20"/>
                <w:lang/>
              </w:rPr>
              <w:t>提升黎城旅游县城形象</w:t>
            </w:r>
          </w:p>
        </w:tc>
        <w:tc>
          <w:tcPr>
            <w:tcW w:w="90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c>
          <w:tcPr>
            <w:tcW w:w="73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提升</w:t>
            </w:r>
          </w:p>
        </w:tc>
        <w:tc>
          <w:tcPr>
            <w:tcW w:w="75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提升</w:t>
            </w:r>
          </w:p>
        </w:tc>
        <w:tc>
          <w:tcPr>
            <w:tcW w:w="67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r>
      <w:tr w:rsidR="00F55CEE">
        <w:trPr>
          <w:trHeight w:val="454"/>
        </w:trPr>
        <w:tc>
          <w:tcPr>
            <w:tcW w:w="1383" w:type="dxa"/>
            <w:vMerge w:val="restart"/>
            <w:tcBorders>
              <w:top w:val="single" w:sz="4" w:space="0" w:color="auto"/>
              <w:left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D3</w:t>
            </w:r>
            <w:r>
              <w:rPr>
                <w:rFonts w:ascii="楷体_GB2312" w:eastAsia="楷体_GB2312" w:hAnsi="宋体" w:cs="楷体_GB2312" w:hint="eastAsia"/>
                <w:color w:val="000000"/>
                <w:kern w:val="0"/>
                <w:sz w:val="20"/>
                <w:szCs w:val="20"/>
                <w:lang/>
              </w:rPr>
              <w:t>可持续性</w:t>
            </w:r>
          </w:p>
        </w:tc>
        <w:tc>
          <w:tcPr>
            <w:tcW w:w="30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D301</w:t>
            </w:r>
            <w:r>
              <w:rPr>
                <w:rFonts w:ascii="楷体_GB2312" w:eastAsia="楷体_GB2312" w:hAnsi="宋体" w:cs="楷体_GB2312" w:hint="eastAsia"/>
                <w:color w:val="000000"/>
                <w:kern w:val="0"/>
                <w:sz w:val="20"/>
                <w:szCs w:val="20"/>
                <w:lang/>
              </w:rPr>
              <w:t>促进黎城县旅游资源整合</w:t>
            </w:r>
          </w:p>
        </w:tc>
        <w:tc>
          <w:tcPr>
            <w:tcW w:w="90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ind w:firstLineChars="100" w:firstLine="200"/>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4.00</w:t>
            </w:r>
          </w:p>
        </w:tc>
        <w:tc>
          <w:tcPr>
            <w:tcW w:w="73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促进</w:t>
            </w:r>
          </w:p>
        </w:tc>
        <w:tc>
          <w:tcPr>
            <w:tcW w:w="75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促进</w:t>
            </w:r>
          </w:p>
        </w:tc>
        <w:tc>
          <w:tcPr>
            <w:tcW w:w="67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4.00</w:t>
            </w:r>
          </w:p>
        </w:tc>
      </w:tr>
      <w:tr w:rsidR="00F55CEE">
        <w:trPr>
          <w:trHeight w:val="454"/>
        </w:trPr>
        <w:tc>
          <w:tcPr>
            <w:tcW w:w="1383" w:type="dxa"/>
            <w:vMerge/>
            <w:tcBorders>
              <w:left w:val="single" w:sz="4" w:space="0" w:color="auto"/>
              <w:bottom w:val="single" w:sz="4" w:space="0" w:color="auto"/>
              <w:right w:val="single" w:sz="4" w:space="0" w:color="auto"/>
            </w:tcBorders>
            <w:noWrap/>
            <w:tcMar>
              <w:top w:w="10" w:type="dxa"/>
              <w:left w:w="10" w:type="dxa"/>
              <w:right w:w="10" w:type="dxa"/>
            </w:tcMar>
            <w:vAlign w:val="center"/>
          </w:tcPr>
          <w:p w:rsidR="00F55CEE" w:rsidRDefault="00F55CEE">
            <w:pPr>
              <w:widowControl/>
              <w:spacing w:line="240" w:lineRule="exact"/>
              <w:jc w:val="center"/>
              <w:textAlignment w:val="center"/>
              <w:rPr>
                <w:rFonts w:ascii="楷体_GB2312" w:eastAsia="楷体_GB2312" w:hAnsi="宋体" w:cs="楷体_GB2312"/>
                <w:color w:val="000000"/>
                <w:kern w:val="0"/>
                <w:sz w:val="20"/>
                <w:szCs w:val="20"/>
                <w:lang/>
              </w:rPr>
            </w:pPr>
          </w:p>
        </w:tc>
        <w:tc>
          <w:tcPr>
            <w:tcW w:w="30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D302</w:t>
            </w:r>
            <w:r>
              <w:rPr>
                <w:rFonts w:ascii="楷体_GB2312" w:eastAsia="楷体_GB2312" w:hAnsi="宋体" w:cs="楷体_GB2312" w:hint="eastAsia"/>
                <w:color w:val="000000"/>
                <w:kern w:val="0"/>
                <w:sz w:val="20"/>
                <w:szCs w:val="20"/>
                <w:lang/>
              </w:rPr>
              <w:t>为森林防火救火赢得时间</w:t>
            </w:r>
          </w:p>
        </w:tc>
        <w:tc>
          <w:tcPr>
            <w:tcW w:w="90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c>
          <w:tcPr>
            <w:tcW w:w="73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促进</w:t>
            </w:r>
          </w:p>
        </w:tc>
        <w:tc>
          <w:tcPr>
            <w:tcW w:w="75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促进</w:t>
            </w:r>
          </w:p>
        </w:tc>
        <w:tc>
          <w:tcPr>
            <w:tcW w:w="67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r>
      <w:tr w:rsidR="00F55CEE">
        <w:trPr>
          <w:trHeight w:val="454"/>
        </w:trPr>
        <w:tc>
          <w:tcPr>
            <w:tcW w:w="138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lastRenderedPageBreak/>
              <w:t>D4</w:t>
            </w:r>
            <w:r>
              <w:rPr>
                <w:rFonts w:ascii="楷体_GB2312" w:eastAsia="楷体_GB2312" w:hAnsi="宋体" w:cs="楷体_GB2312" w:hint="eastAsia"/>
                <w:color w:val="000000"/>
                <w:kern w:val="0"/>
                <w:sz w:val="20"/>
                <w:szCs w:val="20"/>
                <w:lang/>
              </w:rPr>
              <w:t>受惠对象满意度</w:t>
            </w:r>
          </w:p>
        </w:tc>
        <w:tc>
          <w:tcPr>
            <w:tcW w:w="30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D401</w:t>
            </w:r>
            <w:r>
              <w:rPr>
                <w:rFonts w:ascii="楷体_GB2312" w:eastAsia="楷体_GB2312" w:hAnsi="宋体" w:cs="楷体_GB2312" w:hint="eastAsia"/>
                <w:color w:val="000000"/>
                <w:kern w:val="0"/>
                <w:sz w:val="20"/>
                <w:szCs w:val="20"/>
                <w:lang/>
              </w:rPr>
              <w:t>受惠群众满意度</w:t>
            </w:r>
          </w:p>
        </w:tc>
        <w:tc>
          <w:tcPr>
            <w:tcW w:w="90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5.00</w:t>
            </w:r>
          </w:p>
        </w:tc>
        <w:tc>
          <w:tcPr>
            <w:tcW w:w="73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90%</w:t>
            </w:r>
            <w:r>
              <w:rPr>
                <w:rFonts w:ascii="楷体_GB2312" w:eastAsia="楷体_GB2312" w:hAnsi="宋体" w:cs="楷体_GB2312" w:hint="eastAsia"/>
                <w:color w:val="000000"/>
                <w:kern w:val="0"/>
                <w:sz w:val="20"/>
                <w:szCs w:val="20"/>
                <w:lang/>
              </w:rPr>
              <w:t>≥</w:t>
            </w:r>
          </w:p>
        </w:tc>
        <w:tc>
          <w:tcPr>
            <w:tcW w:w="75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84%</w:t>
            </w:r>
          </w:p>
        </w:tc>
        <w:tc>
          <w:tcPr>
            <w:tcW w:w="67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71.43%</w:t>
            </w:r>
          </w:p>
        </w:tc>
        <w:tc>
          <w:tcPr>
            <w:tcW w:w="8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r>
      <w:tr w:rsidR="00F55CEE">
        <w:trPr>
          <w:trHeight w:val="454"/>
        </w:trPr>
        <w:tc>
          <w:tcPr>
            <w:tcW w:w="138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F55CEE">
            <w:pPr>
              <w:widowControl/>
              <w:spacing w:line="240" w:lineRule="exact"/>
              <w:jc w:val="left"/>
              <w:textAlignment w:val="center"/>
              <w:rPr>
                <w:rFonts w:ascii="楷体_GB2312" w:eastAsia="楷体_GB2312" w:hAnsi="宋体" w:cs="楷体_GB2312"/>
                <w:color w:val="000000"/>
                <w:kern w:val="0"/>
                <w:sz w:val="20"/>
                <w:szCs w:val="20"/>
                <w:lang/>
              </w:rPr>
            </w:pPr>
          </w:p>
        </w:tc>
        <w:tc>
          <w:tcPr>
            <w:tcW w:w="30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合</w:t>
            </w:r>
            <w:r>
              <w:rPr>
                <w:rFonts w:ascii="楷体_GB2312" w:eastAsia="楷体_GB2312" w:hAnsi="宋体" w:cs="楷体_GB2312" w:hint="eastAsia"/>
                <w:color w:val="000000"/>
                <w:kern w:val="0"/>
                <w:sz w:val="20"/>
                <w:szCs w:val="20"/>
                <w:lang/>
              </w:rPr>
              <w:t xml:space="preserve"> </w:t>
            </w:r>
            <w:r>
              <w:rPr>
                <w:rFonts w:ascii="楷体_GB2312" w:eastAsia="楷体_GB2312" w:hAnsi="宋体" w:cs="楷体_GB2312" w:hint="eastAsia"/>
                <w:color w:val="000000"/>
                <w:kern w:val="0"/>
                <w:sz w:val="20"/>
                <w:szCs w:val="20"/>
                <w:lang/>
              </w:rPr>
              <w:t>计</w:t>
            </w:r>
          </w:p>
        </w:tc>
        <w:tc>
          <w:tcPr>
            <w:tcW w:w="90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25.00</w:t>
            </w:r>
          </w:p>
        </w:tc>
        <w:tc>
          <w:tcPr>
            <w:tcW w:w="73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F55CEE">
            <w:pPr>
              <w:widowControl/>
              <w:spacing w:line="240" w:lineRule="exact"/>
              <w:jc w:val="center"/>
              <w:textAlignment w:val="center"/>
              <w:rPr>
                <w:rFonts w:ascii="楷体_GB2312" w:eastAsia="楷体_GB2312" w:hAnsi="宋体" w:cs="楷体_GB2312"/>
                <w:color w:val="000000"/>
                <w:kern w:val="0"/>
                <w:sz w:val="20"/>
                <w:szCs w:val="20"/>
                <w:lang/>
              </w:rPr>
            </w:pPr>
          </w:p>
        </w:tc>
        <w:tc>
          <w:tcPr>
            <w:tcW w:w="75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F55CEE">
            <w:pPr>
              <w:widowControl/>
              <w:spacing w:line="240" w:lineRule="exact"/>
              <w:jc w:val="center"/>
              <w:textAlignment w:val="center"/>
              <w:rPr>
                <w:rFonts w:ascii="楷体_GB2312" w:eastAsia="楷体_GB2312" w:hAnsi="宋体" w:cs="楷体_GB2312"/>
                <w:color w:val="000000"/>
                <w:kern w:val="0"/>
                <w:sz w:val="20"/>
                <w:szCs w:val="20"/>
                <w:lang/>
              </w:rPr>
            </w:pPr>
          </w:p>
        </w:tc>
        <w:tc>
          <w:tcPr>
            <w:tcW w:w="67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92.00%</w:t>
            </w:r>
          </w:p>
        </w:tc>
        <w:tc>
          <w:tcPr>
            <w:tcW w:w="84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F55CEE" w:rsidRDefault="001145CC">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23.00</w:t>
            </w:r>
          </w:p>
        </w:tc>
      </w:tr>
    </w:tbl>
    <w:p w:rsidR="00F55CEE" w:rsidRDefault="001145CC">
      <w:pPr>
        <w:pStyle w:val="a0"/>
        <w:spacing w:after="0" w:line="360" w:lineRule="auto"/>
        <w:ind w:firstLineChars="200" w:firstLine="562"/>
        <w:rPr>
          <w:rFonts w:ascii="仿宋_GB2312" w:eastAsia="仿宋_GB2312" w:hAnsi="仿宋_GB2312" w:cs="仿宋_GB2312"/>
          <w:color w:val="333333"/>
          <w:sz w:val="28"/>
          <w:szCs w:val="28"/>
        </w:rPr>
      </w:pPr>
      <w:r>
        <w:rPr>
          <w:rFonts w:ascii="仿宋_GB2312" w:eastAsia="仿宋_GB2312" w:hAnsi="仿宋_GB2312" w:cs="仿宋_GB2312" w:hint="eastAsia"/>
          <w:b/>
          <w:bCs/>
          <w:sz w:val="28"/>
          <w:szCs w:val="28"/>
        </w:rPr>
        <w:t>D101</w:t>
      </w:r>
      <w:r>
        <w:rPr>
          <w:rFonts w:ascii="仿宋_GB2312" w:eastAsia="仿宋_GB2312" w:hAnsi="仿宋_GB2312" w:cs="仿宋_GB2312" w:hint="eastAsia"/>
          <w:b/>
          <w:bCs/>
          <w:sz w:val="28"/>
          <w:szCs w:val="28"/>
        </w:rPr>
        <w:t>促进区域经济发展：</w:t>
      </w:r>
      <w:r>
        <w:rPr>
          <w:rFonts w:ascii="仿宋_GB2312" w:eastAsia="仿宋_GB2312" w:hAnsi="仿宋_GB2312" w:cs="仿宋_GB2312" w:hint="eastAsia"/>
          <w:color w:val="333333"/>
          <w:sz w:val="28"/>
          <w:szCs w:val="28"/>
        </w:rPr>
        <w:t>该指标考察项目的实施是否</w:t>
      </w:r>
      <w:r>
        <w:rPr>
          <w:rFonts w:ascii="仿宋_GB2312" w:eastAsia="仿宋_GB2312" w:hAnsi="仿宋_GB2312" w:cs="仿宋_GB2312" w:hint="eastAsia"/>
          <w:sz w:val="28"/>
          <w:szCs w:val="28"/>
        </w:rPr>
        <w:t>促进黎城县区域经济发展</w:t>
      </w:r>
      <w:r>
        <w:rPr>
          <w:rFonts w:ascii="仿宋_GB2312" w:eastAsia="仿宋_GB2312" w:hAnsi="仿宋_GB2312" w:cs="仿宋_GB2312" w:hint="eastAsia"/>
          <w:color w:val="333333"/>
          <w:sz w:val="28"/>
          <w:szCs w:val="28"/>
        </w:rPr>
        <w:t>。</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该项目的建设，改善了黎城县区域投资环境，推进了产业结构的调整，促进了区域经济的合理布局。可加强当地群众与周边县区的经济文化交流，在最大程度上解决周边农村群众就业问题，并围绕旅游产业引导周边群众创办农家一日游、民俗特色游等产业。同时，促进了地方第三产业的大力发展，拉动了地方经济的跨越发展，促进了沿线新农村建设。该指标得满分。</w:t>
      </w:r>
    </w:p>
    <w:p w:rsidR="00F55CEE" w:rsidRDefault="001145CC">
      <w:pPr>
        <w:spacing w:line="360" w:lineRule="auto"/>
        <w:ind w:firstLineChars="200" w:firstLine="562"/>
        <w:rPr>
          <w:rFonts w:ascii="仿宋_GB2312" w:eastAsia="仿宋_GB2312" w:hAnsi="仿宋_GB2312" w:cs="仿宋_GB2312"/>
          <w:color w:val="333333"/>
          <w:sz w:val="28"/>
          <w:szCs w:val="28"/>
        </w:rPr>
      </w:pPr>
      <w:r>
        <w:rPr>
          <w:rFonts w:ascii="仿宋_GB2312" w:eastAsia="仿宋_GB2312" w:hAnsi="仿宋_GB2312" w:cs="仿宋_GB2312" w:hint="eastAsia"/>
          <w:b/>
          <w:bCs/>
          <w:sz w:val="28"/>
          <w:szCs w:val="28"/>
        </w:rPr>
        <w:t>D201</w:t>
      </w:r>
      <w:r>
        <w:rPr>
          <w:rFonts w:ascii="仿宋_GB2312" w:eastAsia="仿宋_GB2312" w:hAnsi="仿宋_GB2312" w:cs="仿宋_GB2312" w:hint="eastAsia"/>
          <w:b/>
          <w:bCs/>
          <w:sz w:val="28"/>
          <w:szCs w:val="28"/>
        </w:rPr>
        <w:t>完善县城旅游道路网络：</w:t>
      </w:r>
      <w:r>
        <w:rPr>
          <w:rFonts w:ascii="仿宋_GB2312" w:eastAsia="仿宋_GB2312" w:hAnsi="仿宋_GB2312" w:cs="仿宋_GB2312" w:hint="eastAsia"/>
          <w:color w:val="333333"/>
          <w:sz w:val="28"/>
          <w:szCs w:val="28"/>
        </w:rPr>
        <w:t>该指标考察项目是否依照规划施工完善县城旅游道路网络。</w:t>
      </w:r>
    </w:p>
    <w:p w:rsidR="00F55CEE" w:rsidRDefault="001145CC">
      <w:pPr>
        <w:pStyle w:val="a5"/>
        <w:snapToGrid w:val="0"/>
        <w:spacing w:line="372"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道路系统是联系县城各功能区的动脉，黎城县城区内各个组成部分是通过道路构成一个互相协调、有机联系的整体。太行板块旅游公路的实施可以逐步实现黎城县总体规划，完善黎城县道路骨架。随着社会经济迅速发展，旅游产业的进一步开发，未来黎城县区域内的交通流、中短途运输量将增多，现有公路的技术等级较低，已无法适应现状交通运输需求，明显制约着当地社会经济的发展，严重制约着区域内经济的发展。依照太行板块旅游公路规划与设计，项目的实施将大大提升黎城县未来的用地开发、出行条件和交通环境，加强周边居民与中心城区的联系。该项目实施与计划</w:t>
      </w:r>
      <w:r>
        <w:rPr>
          <w:rFonts w:ascii="仿宋_GB2312" w:eastAsia="仿宋_GB2312" w:hAnsi="仿宋_GB2312" w:cs="仿宋_GB2312" w:hint="eastAsia"/>
          <w:sz w:val="28"/>
          <w:szCs w:val="28"/>
        </w:rPr>
        <w:t>到规划设计相符，起到完善黎城县城道路网络的作用。</w:t>
      </w:r>
    </w:p>
    <w:p w:rsidR="00F55CEE" w:rsidRDefault="001145CC">
      <w:pPr>
        <w:pStyle w:val="a0"/>
        <w:spacing w:after="0"/>
        <w:ind w:firstLineChars="200" w:firstLine="562"/>
        <w:rPr>
          <w:rFonts w:ascii="仿宋_GB2312" w:eastAsia="仿宋_GB2312" w:hAnsi="仿宋_GB2312" w:cs="仿宋_GB2312"/>
          <w:color w:val="333333"/>
          <w:sz w:val="28"/>
          <w:szCs w:val="28"/>
        </w:rPr>
      </w:pPr>
      <w:r>
        <w:rPr>
          <w:rFonts w:ascii="仿宋_GB2312" w:eastAsia="仿宋_GB2312" w:hAnsi="仿宋_GB2312" w:cs="仿宋_GB2312" w:hint="eastAsia"/>
          <w:b/>
          <w:bCs/>
          <w:sz w:val="28"/>
          <w:szCs w:val="28"/>
        </w:rPr>
        <w:t>D202</w:t>
      </w:r>
      <w:r>
        <w:rPr>
          <w:rFonts w:ascii="仿宋_GB2312" w:eastAsia="仿宋_GB2312" w:hAnsi="仿宋_GB2312" w:cs="仿宋_GB2312" w:hint="eastAsia"/>
          <w:b/>
          <w:bCs/>
          <w:sz w:val="28"/>
          <w:szCs w:val="28"/>
        </w:rPr>
        <w:t>提升黎城旅游县城形象：</w:t>
      </w:r>
      <w:r>
        <w:rPr>
          <w:rFonts w:ascii="仿宋_GB2312" w:eastAsia="仿宋_GB2312" w:hAnsi="仿宋_GB2312" w:cs="仿宋_GB2312" w:hint="eastAsia"/>
          <w:color w:val="333333"/>
          <w:sz w:val="28"/>
          <w:szCs w:val="28"/>
        </w:rPr>
        <w:t>该指标考察项目是否依照规划施</w:t>
      </w:r>
      <w:r>
        <w:rPr>
          <w:rFonts w:ascii="仿宋_GB2312" w:eastAsia="仿宋_GB2312" w:hAnsi="仿宋_GB2312" w:cs="仿宋_GB2312" w:hint="eastAsia"/>
          <w:color w:val="333333"/>
          <w:sz w:val="28"/>
          <w:szCs w:val="28"/>
        </w:rPr>
        <w:lastRenderedPageBreak/>
        <w:t>工，对黎城旅游县城形象的影响。</w:t>
      </w:r>
    </w:p>
    <w:p w:rsidR="00F55CEE" w:rsidRDefault="001145CC">
      <w:pPr>
        <w:pStyle w:val="a0"/>
        <w:spacing w:after="0"/>
        <w:ind w:firstLineChars="200" w:firstLine="560"/>
        <w:rPr>
          <w:rFonts w:ascii="仿宋_GB2312" w:eastAsia="仿宋_GB2312" w:hAnsi="仿宋_GB2312" w:cs="仿宋_GB2312"/>
          <w:color w:val="333333"/>
          <w:sz w:val="28"/>
          <w:szCs w:val="28"/>
        </w:rPr>
      </w:pPr>
      <w:r>
        <w:rPr>
          <w:rFonts w:ascii="仿宋_GB2312" w:eastAsia="仿宋_GB2312" w:hAnsi="仿宋_GB2312" w:cs="仿宋_GB2312" w:hint="eastAsia"/>
          <w:color w:val="333333"/>
          <w:sz w:val="28"/>
          <w:szCs w:val="28"/>
        </w:rPr>
        <w:t>黎城县现阶段道路数量少、标准低、通行能力差，严重制约着城市功能的完善以及城市用地品质的提升，当下逐步新建及改造新区道路网络，完善道路基础设施，成为提高黎城县人民生活品质，改善居民生活质量和县容县貌的首要条件。该项目</w:t>
      </w:r>
      <w:r>
        <w:rPr>
          <w:rFonts w:ascii="仿宋_GB2312" w:eastAsia="仿宋_GB2312" w:hAnsi="仿宋_GB2312" w:cs="仿宋_GB2312" w:hint="eastAsia"/>
          <w:color w:val="333333"/>
          <w:sz w:val="28"/>
          <w:szCs w:val="28"/>
        </w:rPr>
        <w:t>2019</w:t>
      </w:r>
      <w:r>
        <w:rPr>
          <w:rFonts w:ascii="仿宋_GB2312" w:eastAsia="仿宋_GB2312" w:hAnsi="仿宋_GB2312" w:cs="仿宋_GB2312" w:hint="eastAsia"/>
          <w:color w:val="333333"/>
          <w:sz w:val="28"/>
          <w:szCs w:val="28"/>
        </w:rPr>
        <w:t>年依照项目规划实施，对黎城县的旅游县城的形象、发展有着积极、促进的影响。</w:t>
      </w:r>
    </w:p>
    <w:p w:rsidR="00F55CEE" w:rsidRDefault="001145CC">
      <w:pPr>
        <w:pStyle w:val="a0"/>
        <w:spacing w:after="0" w:line="360" w:lineRule="auto"/>
        <w:ind w:firstLineChars="200" w:firstLine="562"/>
        <w:rPr>
          <w:rFonts w:ascii="仿宋_GB2312" w:eastAsia="仿宋_GB2312" w:hAnsi="仿宋_GB2312" w:cs="仿宋_GB2312"/>
          <w:color w:val="333333"/>
          <w:sz w:val="28"/>
          <w:szCs w:val="28"/>
        </w:rPr>
      </w:pPr>
      <w:r>
        <w:rPr>
          <w:rFonts w:ascii="仿宋_GB2312" w:eastAsia="仿宋_GB2312" w:hAnsi="仿宋_GB2312" w:cs="仿宋_GB2312" w:hint="eastAsia"/>
          <w:b/>
          <w:bCs/>
          <w:sz w:val="28"/>
          <w:szCs w:val="28"/>
        </w:rPr>
        <w:t>D301</w:t>
      </w:r>
      <w:r>
        <w:rPr>
          <w:rFonts w:ascii="仿宋_GB2312" w:eastAsia="仿宋_GB2312" w:hAnsi="仿宋_GB2312" w:cs="仿宋_GB2312" w:hint="eastAsia"/>
          <w:b/>
          <w:bCs/>
          <w:sz w:val="28"/>
          <w:szCs w:val="28"/>
        </w:rPr>
        <w:t>促进黎城县旅游资源整合：</w:t>
      </w:r>
      <w:r>
        <w:rPr>
          <w:rFonts w:ascii="仿宋_GB2312" w:eastAsia="仿宋_GB2312" w:hAnsi="仿宋_GB2312" w:cs="仿宋_GB2312" w:hint="eastAsia"/>
          <w:color w:val="333333"/>
          <w:sz w:val="28"/>
          <w:szCs w:val="28"/>
        </w:rPr>
        <w:t>该指标考察项目的实施是否</w:t>
      </w:r>
      <w:r>
        <w:rPr>
          <w:rFonts w:ascii="仿宋_GB2312" w:eastAsia="仿宋_GB2312" w:hAnsi="仿宋_GB2312" w:cs="仿宋_GB2312" w:hint="eastAsia"/>
          <w:sz w:val="28"/>
          <w:szCs w:val="28"/>
        </w:rPr>
        <w:t>促进黎城县旅游资源整合</w:t>
      </w:r>
      <w:r>
        <w:rPr>
          <w:rFonts w:ascii="仿宋_GB2312" w:eastAsia="仿宋_GB2312" w:hAnsi="仿宋_GB2312" w:cs="仿宋_GB2312" w:hint="eastAsia"/>
          <w:color w:val="333333"/>
          <w:sz w:val="28"/>
          <w:szCs w:val="28"/>
        </w:rPr>
        <w:t>。</w:t>
      </w:r>
    </w:p>
    <w:p w:rsidR="00F55CEE" w:rsidRDefault="001145CC">
      <w:pPr>
        <w:pStyle w:val="a0"/>
        <w:spacing w:after="0" w:line="360" w:lineRule="auto"/>
        <w:ind w:firstLineChars="200" w:firstLine="560"/>
        <w:rPr>
          <w:rFonts w:ascii="仿宋_GB2312" w:eastAsia="仿宋_GB2312" w:hAnsi="仿宋_GB2312" w:cs="仿宋_GB2312"/>
          <w:color w:val="333333"/>
          <w:sz w:val="28"/>
          <w:szCs w:val="28"/>
        </w:rPr>
      </w:pPr>
      <w:r>
        <w:rPr>
          <w:rFonts w:ascii="仿宋_GB2312" w:eastAsia="仿宋_GB2312" w:hAnsi="仿宋_GB2312" w:cs="仿宋_GB2312" w:hint="eastAsia"/>
          <w:color w:val="333333"/>
          <w:sz w:val="28"/>
          <w:szCs w:val="28"/>
        </w:rPr>
        <w:t>黎城县旅游资源丰富，其优美的自然生态，绚丽的山水风光，厚重的人文古迹，形成了红色、绿色、古色三色鲜明、特色彰显的旅游品牌。尤其是东部地区的太行山区自然风景更为引人入胜，长治市政府己将壶关、平顺、黎城旅游的连接线规划为中华太行大峡谷旅游公路，分布有太行板山、龙洞、黄崖洞等多处颇具旅游和观赏价值的景区，未来黎城境内的出入境旅游交通流将日益增长。旅游公路项目的实施把八路军广志山被服厂旧址、八路军</w:t>
      </w:r>
      <w:r>
        <w:rPr>
          <w:rFonts w:ascii="仿宋_GB2312" w:eastAsia="仿宋_GB2312" w:hAnsi="仿宋_GB2312" w:cs="仿宋_GB2312" w:hint="eastAsia"/>
          <w:color w:val="333333"/>
          <w:sz w:val="28"/>
          <w:szCs w:val="28"/>
        </w:rPr>
        <w:t>129</w:t>
      </w:r>
      <w:r>
        <w:rPr>
          <w:rFonts w:ascii="仿宋_GB2312" w:eastAsia="仿宋_GB2312" w:hAnsi="仿宋_GB2312" w:cs="仿宋_GB2312" w:hint="eastAsia"/>
          <w:color w:val="333333"/>
          <w:sz w:val="28"/>
          <w:szCs w:val="28"/>
        </w:rPr>
        <w:t>师后方医院旧址、龙洞、广志山板山等著名景区联系在一起，</w:t>
      </w:r>
      <w:r>
        <w:rPr>
          <w:rFonts w:ascii="仿宋_GB2312" w:eastAsia="仿宋_GB2312" w:hAnsi="仿宋_GB2312" w:cs="仿宋_GB2312" w:hint="eastAsia"/>
          <w:color w:val="333333"/>
          <w:sz w:val="28"/>
          <w:szCs w:val="28"/>
        </w:rPr>
        <w:t xml:space="preserve"> </w:t>
      </w:r>
      <w:r>
        <w:rPr>
          <w:rFonts w:ascii="仿宋_GB2312" w:eastAsia="仿宋_GB2312" w:hAnsi="仿宋_GB2312" w:cs="仿宋_GB2312" w:hint="eastAsia"/>
          <w:color w:val="333333"/>
          <w:sz w:val="28"/>
          <w:szCs w:val="28"/>
        </w:rPr>
        <w:t>整合了黎城县旅游资源，并为后期文</w:t>
      </w:r>
      <w:r>
        <w:rPr>
          <w:rFonts w:ascii="仿宋_GB2312" w:eastAsia="仿宋_GB2312" w:hAnsi="仿宋_GB2312" w:cs="仿宋_GB2312" w:hint="eastAsia"/>
          <w:color w:val="333333"/>
          <w:sz w:val="28"/>
          <w:szCs w:val="28"/>
        </w:rPr>
        <w:t>化旅游区的建设奠定了基础。旅游公路的建设充分利用旧路走廊，集约利用资源；贯彻“环境友好、贴近自然，不破坏就是最大的保护”的环保理念；树立交旅融合发展的新理念、注重旅游公路自身景观营造，为旅客提供舒适、愉悦的旅游交通服务。</w:t>
      </w:r>
      <w:r>
        <w:rPr>
          <w:rFonts w:ascii="仿宋_GB2312" w:eastAsia="仿宋_GB2312" w:hAnsi="仿宋_GB2312" w:cs="仿宋_GB2312" w:hint="eastAsia"/>
          <w:color w:val="333333"/>
          <w:sz w:val="28"/>
          <w:szCs w:val="28"/>
        </w:rPr>
        <w:t xml:space="preserve"> </w:t>
      </w:r>
      <w:r>
        <w:rPr>
          <w:rFonts w:ascii="仿宋_GB2312" w:eastAsia="仿宋_GB2312" w:hAnsi="仿宋_GB2312" w:cs="仿宋_GB2312" w:hint="eastAsia"/>
          <w:color w:val="333333"/>
          <w:sz w:val="28"/>
          <w:szCs w:val="28"/>
        </w:rPr>
        <w:t>对于打造一条精品的旅游路线，加快黎城县旅游业的发展具有重要意义。</w:t>
      </w:r>
    </w:p>
    <w:p w:rsidR="00F55CEE" w:rsidRDefault="001145CC">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D302</w:t>
      </w:r>
      <w:r>
        <w:rPr>
          <w:rFonts w:ascii="仿宋_GB2312" w:eastAsia="仿宋_GB2312" w:hAnsi="仿宋_GB2312" w:cs="仿宋_GB2312" w:hint="eastAsia"/>
          <w:b/>
          <w:bCs/>
          <w:sz w:val="28"/>
          <w:szCs w:val="28"/>
        </w:rPr>
        <w:t>为森林防火救火赢得时间：</w:t>
      </w:r>
      <w:r>
        <w:rPr>
          <w:rFonts w:ascii="仿宋_GB2312" w:eastAsia="仿宋_GB2312" w:hAnsi="仿宋_GB2312" w:cs="仿宋_GB2312" w:hint="eastAsia"/>
          <w:sz w:val="28"/>
          <w:szCs w:val="28"/>
        </w:rPr>
        <w:t>该指标考察项目的实施是否为</w:t>
      </w:r>
      <w:r>
        <w:rPr>
          <w:rFonts w:ascii="仿宋_GB2312" w:eastAsia="仿宋_GB2312" w:hAnsi="仿宋_GB2312" w:cs="仿宋_GB2312" w:hint="eastAsia"/>
          <w:sz w:val="28"/>
          <w:szCs w:val="28"/>
        </w:rPr>
        <w:lastRenderedPageBreak/>
        <w:t>森林防火救火赢得时间。</w:t>
      </w:r>
    </w:p>
    <w:p w:rsidR="00F55CEE" w:rsidRDefault="001145CC">
      <w:pPr>
        <w:widowControl/>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太行山森林资源丰富，山水生态良好，是发展旅游业加快经济转型发展的重要基础和生态支撑。严防森林火灾，保护好绿水青山，责任重于泰山。旅游公路在林区</w:t>
      </w:r>
      <w:r>
        <w:rPr>
          <w:rFonts w:ascii="仿宋_GB2312" w:eastAsia="仿宋_GB2312" w:hAnsi="仿宋_GB2312" w:cs="仿宋_GB2312" w:hint="eastAsia"/>
          <w:sz w:val="28"/>
          <w:szCs w:val="28"/>
        </w:rPr>
        <w:t>建设，基本选择建在林木稀少的阳坡，在险情不大时，公路的建筑宽度能作为一条辅助隔离带，为扑灭火险赢得时间，同时还是最快捷的消防通道，降低森林火灾的损失将消防扑救人员、物资以最短的时间运至现场，保护人民生命财产安全，降低森林火灾的损失。因此，一定意义上，本项目的建设也是消防建设的需要。</w:t>
      </w:r>
    </w:p>
    <w:p w:rsidR="00F55CEE" w:rsidRDefault="001145CC">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D401</w:t>
      </w:r>
      <w:r>
        <w:rPr>
          <w:rFonts w:ascii="仿宋_GB2312" w:eastAsia="仿宋_GB2312" w:hAnsi="仿宋_GB2312" w:cs="仿宋_GB2312" w:hint="eastAsia"/>
          <w:b/>
          <w:bCs/>
          <w:sz w:val="28"/>
          <w:szCs w:val="28"/>
        </w:rPr>
        <w:t>群众满意度：</w:t>
      </w:r>
      <w:r>
        <w:rPr>
          <w:rFonts w:ascii="仿宋_GB2312" w:eastAsia="仿宋_GB2312" w:hAnsi="仿宋_GB2312" w:cs="仿宋_GB2312" w:hint="eastAsia"/>
          <w:sz w:val="28"/>
          <w:szCs w:val="28"/>
        </w:rPr>
        <w:t>该指标考核项目群众满意度。</w:t>
      </w:r>
    </w:p>
    <w:p w:rsidR="00F55CEE" w:rsidRDefault="001145CC">
      <w:pPr>
        <w:pStyle w:val="a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本次绩效评价对三大板块旅游道路建设的效益进行了社会调查，抽查了部分受惠群众，发放问卷调查</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份，针对“</w:t>
      </w:r>
      <w:r>
        <w:rPr>
          <w:rFonts w:ascii="仿宋_GB2312" w:eastAsia="仿宋_GB2312" w:hAnsi="仿宋_GB2312" w:cs="仿宋_GB2312" w:hint="eastAsia"/>
          <w:sz w:val="28"/>
          <w:szCs w:val="36"/>
        </w:rPr>
        <w:t>您对三大板块旅游公路了解么</w:t>
      </w:r>
      <w:r>
        <w:rPr>
          <w:rFonts w:ascii="仿宋_GB2312" w:eastAsia="仿宋_GB2312" w:hAnsi="仿宋_GB2312" w:cs="仿宋_GB2312" w:hint="eastAsia"/>
          <w:sz w:val="28"/>
          <w:szCs w:val="28"/>
        </w:rPr>
        <w:t>”这个问题，认为十分了解的占</w:t>
      </w:r>
      <w:r>
        <w:rPr>
          <w:rFonts w:ascii="仿宋_GB2312" w:eastAsia="仿宋_GB2312" w:hAnsi="仿宋_GB2312" w:cs="仿宋_GB2312" w:hint="eastAsia"/>
          <w:sz w:val="28"/>
          <w:szCs w:val="28"/>
        </w:rPr>
        <w:t>40%</w:t>
      </w:r>
      <w:r>
        <w:rPr>
          <w:rFonts w:ascii="仿宋_GB2312" w:eastAsia="仿宋_GB2312" w:hAnsi="仿宋_GB2312" w:cs="仿宋_GB2312" w:hint="eastAsia"/>
          <w:sz w:val="28"/>
          <w:szCs w:val="28"/>
        </w:rPr>
        <w:t>，认为比较了解的占</w:t>
      </w:r>
      <w:r>
        <w:rPr>
          <w:rFonts w:ascii="仿宋_GB2312" w:eastAsia="仿宋_GB2312" w:hAnsi="仿宋_GB2312" w:cs="仿宋_GB2312" w:hint="eastAsia"/>
          <w:sz w:val="28"/>
          <w:szCs w:val="28"/>
        </w:rPr>
        <w:t>33.33%</w:t>
      </w:r>
      <w:r>
        <w:rPr>
          <w:rFonts w:ascii="仿宋_GB2312" w:eastAsia="仿宋_GB2312" w:hAnsi="仿宋_GB2312" w:cs="仿宋_GB2312" w:hint="eastAsia"/>
          <w:sz w:val="28"/>
          <w:szCs w:val="28"/>
        </w:rPr>
        <w:t>，认为了解一些的占</w:t>
      </w:r>
      <w:r>
        <w:rPr>
          <w:rFonts w:ascii="仿宋_GB2312" w:eastAsia="仿宋_GB2312" w:hAnsi="仿宋_GB2312" w:cs="仿宋_GB2312" w:hint="eastAsia"/>
          <w:sz w:val="28"/>
          <w:szCs w:val="28"/>
        </w:rPr>
        <w:t>16.67%</w:t>
      </w:r>
      <w:r>
        <w:rPr>
          <w:rFonts w:ascii="仿宋_GB2312" w:eastAsia="仿宋_GB2312" w:hAnsi="仿宋_GB2312" w:cs="仿宋_GB2312" w:hint="eastAsia"/>
          <w:sz w:val="28"/>
          <w:szCs w:val="28"/>
        </w:rPr>
        <w:t>，认为没有破坏的</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；针对“您认为三大板块旅游公路工程建设有必要么？”这个问题，认为非常有必要的占</w:t>
      </w:r>
      <w:r>
        <w:rPr>
          <w:rFonts w:ascii="仿宋_GB2312" w:eastAsia="仿宋_GB2312" w:hAnsi="仿宋_GB2312" w:cs="仿宋_GB2312" w:hint="eastAsia"/>
          <w:sz w:val="28"/>
          <w:szCs w:val="28"/>
        </w:rPr>
        <w:t>53.33%</w:t>
      </w:r>
      <w:r>
        <w:rPr>
          <w:rFonts w:ascii="仿宋_GB2312" w:eastAsia="仿宋_GB2312" w:hAnsi="仿宋_GB2312" w:cs="仿宋_GB2312" w:hint="eastAsia"/>
          <w:sz w:val="28"/>
          <w:szCs w:val="28"/>
        </w:rPr>
        <w:t>，认为有必要的占</w:t>
      </w:r>
      <w:r>
        <w:rPr>
          <w:rFonts w:ascii="仿宋_GB2312" w:eastAsia="仿宋_GB2312" w:hAnsi="仿宋_GB2312" w:cs="仿宋_GB2312" w:hint="eastAsia"/>
          <w:sz w:val="28"/>
          <w:szCs w:val="28"/>
        </w:rPr>
        <w:t>36.67%</w:t>
      </w:r>
      <w:r>
        <w:rPr>
          <w:rFonts w:ascii="仿宋_GB2312" w:eastAsia="仿宋_GB2312" w:hAnsi="仿宋_GB2312" w:cs="仿宋_GB2312" w:hint="eastAsia"/>
          <w:sz w:val="28"/>
          <w:szCs w:val="28"/>
        </w:rPr>
        <w:t>，认为没必要的占</w:t>
      </w:r>
      <w:r>
        <w:rPr>
          <w:rFonts w:ascii="仿宋_GB2312" w:eastAsia="仿宋_GB2312" w:hAnsi="仿宋_GB2312" w:cs="仿宋_GB2312" w:hint="eastAsia"/>
          <w:sz w:val="28"/>
          <w:szCs w:val="28"/>
        </w:rPr>
        <w:t>6.67%</w:t>
      </w:r>
      <w:r>
        <w:rPr>
          <w:rFonts w:ascii="仿宋_GB2312" w:eastAsia="仿宋_GB2312" w:hAnsi="仿宋_GB2312" w:cs="仿宋_GB2312" w:hint="eastAsia"/>
          <w:sz w:val="28"/>
          <w:szCs w:val="28"/>
        </w:rPr>
        <w:t>，认为不清楚的占</w:t>
      </w:r>
      <w:r>
        <w:rPr>
          <w:rFonts w:ascii="仿宋_GB2312" w:eastAsia="仿宋_GB2312" w:hAnsi="仿宋_GB2312" w:cs="仿宋_GB2312" w:hint="eastAsia"/>
          <w:sz w:val="28"/>
          <w:szCs w:val="28"/>
        </w:rPr>
        <w:t>3.33%</w:t>
      </w:r>
      <w:r>
        <w:rPr>
          <w:rFonts w:ascii="仿宋_GB2312" w:eastAsia="仿宋_GB2312" w:hAnsi="仿宋_GB2312" w:cs="仿宋_GB2312" w:hint="eastAsia"/>
          <w:sz w:val="28"/>
          <w:szCs w:val="28"/>
        </w:rPr>
        <w:t>；针对“</w:t>
      </w:r>
      <w:r>
        <w:rPr>
          <w:rFonts w:ascii="仿宋_GB2312" w:eastAsia="仿宋_GB2312" w:hAnsi="仿宋_GB2312" w:cs="仿宋_GB2312" w:hint="eastAsia"/>
          <w:sz w:val="28"/>
          <w:szCs w:val="36"/>
        </w:rPr>
        <w:t>您认为‘三大板块旅游公路’建设完成后，是否会促进城乡的发展</w:t>
      </w:r>
      <w:r>
        <w:rPr>
          <w:rFonts w:ascii="仿宋_GB2312" w:eastAsia="仿宋_GB2312" w:hAnsi="仿宋_GB2312" w:cs="仿宋_GB2312" w:hint="eastAsia"/>
          <w:sz w:val="28"/>
          <w:szCs w:val="36"/>
        </w:rPr>
        <w:tab/>
      </w:r>
      <w:r>
        <w:rPr>
          <w:rFonts w:ascii="仿宋_GB2312" w:eastAsia="仿宋_GB2312" w:hAnsi="仿宋_GB2312" w:cs="仿宋_GB2312" w:hint="eastAsia"/>
          <w:sz w:val="28"/>
          <w:szCs w:val="28"/>
        </w:rPr>
        <w:t>”这个问题，认为是的占</w:t>
      </w:r>
      <w:r>
        <w:rPr>
          <w:rFonts w:ascii="仿宋_GB2312" w:eastAsia="仿宋_GB2312" w:hAnsi="仿宋_GB2312" w:cs="仿宋_GB2312" w:hint="eastAsia"/>
          <w:sz w:val="28"/>
          <w:szCs w:val="28"/>
        </w:rPr>
        <w:t>83.33%</w:t>
      </w:r>
      <w:r>
        <w:rPr>
          <w:rFonts w:ascii="仿宋_GB2312" w:eastAsia="仿宋_GB2312" w:hAnsi="仿宋_GB2312" w:cs="仿宋_GB2312" w:hint="eastAsia"/>
          <w:sz w:val="28"/>
          <w:szCs w:val="28"/>
        </w:rPr>
        <w:t>，认为不清楚的占</w:t>
      </w:r>
      <w:r>
        <w:rPr>
          <w:rFonts w:ascii="仿宋_GB2312" w:eastAsia="仿宋_GB2312" w:hAnsi="仿宋_GB2312" w:cs="仿宋_GB2312" w:hint="eastAsia"/>
          <w:sz w:val="28"/>
          <w:szCs w:val="28"/>
        </w:rPr>
        <w:t>6.67%</w:t>
      </w:r>
      <w:r>
        <w:rPr>
          <w:rFonts w:ascii="仿宋_GB2312" w:eastAsia="仿宋_GB2312" w:hAnsi="仿宋_GB2312" w:cs="仿宋_GB2312" w:hint="eastAsia"/>
          <w:sz w:val="28"/>
          <w:szCs w:val="28"/>
        </w:rPr>
        <w:t>，认为不会的占</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。根据问卷数据信息反馈，综合来看，受访群众的平均满意度达到</w:t>
      </w:r>
      <w:r>
        <w:rPr>
          <w:rFonts w:ascii="仿宋_GB2312" w:eastAsia="仿宋_GB2312" w:hAnsi="仿宋_GB2312" w:cs="仿宋_GB2312" w:hint="eastAsia"/>
          <w:sz w:val="28"/>
          <w:szCs w:val="28"/>
        </w:rPr>
        <w:t>84%</w:t>
      </w:r>
      <w:r>
        <w:rPr>
          <w:rFonts w:ascii="仿宋_GB2312" w:eastAsia="仿宋_GB2312" w:hAnsi="仿宋_GB2312" w:cs="仿宋_GB2312" w:hint="eastAsia"/>
          <w:sz w:val="28"/>
          <w:szCs w:val="28"/>
        </w:rPr>
        <w:t>。满意度良好，</w:t>
      </w:r>
      <w:r>
        <w:rPr>
          <w:rFonts w:ascii="仿宋_GB2312" w:eastAsia="仿宋_GB2312" w:hAnsi="仿宋_GB2312" w:cs="仿宋_GB2312" w:hint="eastAsia"/>
          <w:sz w:val="28"/>
          <w:szCs w:val="28"/>
        </w:rPr>
        <w:t>根据指标评分规则，该项指标扣除</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分，得分</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分。</w:t>
      </w:r>
    </w:p>
    <w:p w:rsidR="00F55CEE" w:rsidRDefault="001145CC">
      <w:pPr>
        <w:pStyle w:val="1"/>
        <w:ind w:firstLineChars="200" w:firstLine="560"/>
        <w:rPr>
          <w:rFonts w:ascii="黑体" w:eastAsia="黑体" w:hAnsi="黑体" w:cs="黑体"/>
          <w:b w:val="0"/>
          <w:bCs/>
          <w:sz w:val="28"/>
          <w:szCs w:val="28"/>
        </w:rPr>
      </w:pPr>
      <w:bookmarkStart w:id="188" w:name="_Toc16748"/>
      <w:bookmarkEnd w:id="178"/>
      <w:bookmarkEnd w:id="179"/>
      <w:bookmarkEnd w:id="180"/>
      <w:bookmarkEnd w:id="181"/>
      <w:bookmarkEnd w:id="182"/>
      <w:bookmarkEnd w:id="183"/>
      <w:bookmarkEnd w:id="184"/>
      <w:bookmarkEnd w:id="185"/>
      <w:bookmarkEnd w:id="186"/>
      <w:bookmarkEnd w:id="187"/>
      <w:r>
        <w:rPr>
          <w:rFonts w:ascii="黑体" w:eastAsia="黑体" w:hAnsi="黑体" w:cs="黑体" w:hint="eastAsia"/>
          <w:b w:val="0"/>
          <w:bCs/>
          <w:sz w:val="28"/>
          <w:szCs w:val="28"/>
        </w:rPr>
        <w:lastRenderedPageBreak/>
        <w:t>四、主要经验做法</w:t>
      </w:r>
      <w:bookmarkEnd w:id="188"/>
    </w:p>
    <w:p w:rsidR="00F55CEE" w:rsidRDefault="001145CC">
      <w:pPr>
        <w:pStyle w:val="2"/>
        <w:spacing w:before="0" w:line="360" w:lineRule="auto"/>
        <w:ind w:firstLineChars="200" w:firstLine="560"/>
        <w:rPr>
          <w:rFonts w:ascii="楷体_GB2312" w:eastAsia="楷体_GB2312" w:hAnsi="楷体_GB2312" w:cs="楷体_GB2312"/>
          <w:b w:val="0"/>
          <w:bCs w:val="0"/>
          <w:sz w:val="28"/>
          <w:szCs w:val="28"/>
        </w:rPr>
      </w:pPr>
      <w:bookmarkStart w:id="189" w:name="_Toc31031"/>
      <w:r>
        <w:rPr>
          <w:rFonts w:ascii="楷体_GB2312" w:eastAsia="楷体_GB2312" w:hAnsi="楷体_GB2312" w:cs="楷体_GB2312" w:hint="eastAsia"/>
          <w:b w:val="0"/>
          <w:bCs w:val="0"/>
          <w:sz w:val="28"/>
          <w:szCs w:val="28"/>
        </w:rPr>
        <w:t>（一）建立健全的档案管理制度</w:t>
      </w:r>
      <w:bookmarkEnd w:id="189"/>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项目在前期审批及实施中，实施单位就确认专职人员对相关资料进行统一收集与整理，并妥善保管。将各工程的相关资料进行了分类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存放于不同的资料盒中</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并在资料盒外贴上具体分类标签，保证了项目资料的保存与完整。</w:t>
      </w:r>
    </w:p>
    <w:p w:rsidR="00F55CEE" w:rsidRDefault="001145CC">
      <w:pPr>
        <w:pStyle w:val="2"/>
        <w:spacing w:before="0" w:line="360" w:lineRule="auto"/>
        <w:ind w:firstLineChars="200" w:firstLine="560"/>
        <w:rPr>
          <w:rFonts w:ascii="楷体_GB2312" w:eastAsia="楷体_GB2312" w:hAnsi="楷体_GB2312" w:cs="楷体_GB2312"/>
          <w:b w:val="0"/>
          <w:bCs w:val="0"/>
          <w:sz w:val="28"/>
          <w:szCs w:val="28"/>
        </w:rPr>
      </w:pPr>
      <w:bookmarkStart w:id="190" w:name="_Toc11848"/>
      <w:r>
        <w:rPr>
          <w:rFonts w:ascii="楷体_GB2312" w:eastAsia="楷体_GB2312" w:hAnsi="楷体_GB2312" w:cs="楷体_GB2312" w:hint="eastAsia"/>
          <w:b w:val="0"/>
          <w:bCs w:val="0"/>
          <w:sz w:val="28"/>
          <w:szCs w:val="28"/>
        </w:rPr>
        <w:t>（二）项目财务操作规范、财务管理制度健全</w:t>
      </w:r>
      <w:bookmarkEnd w:id="190"/>
    </w:p>
    <w:p w:rsidR="00F55CEE" w:rsidRDefault="001145CC">
      <w:pPr>
        <w:pStyle w:val="a0"/>
        <w:ind w:firstLineChars="200" w:firstLine="560"/>
      </w:pPr>
      <w:r>
        <w:rPr>
          <w:rFonts w:ascii="仿宋_GB2312" w:eastAsia="仿宋_GB2312" w:hAnsi="仿宋_GB2312" w:cs="仿宋_GB2312" w:hint="eastAsia"/>
          <w:sz w:val="28"/>
          <w:szCs w:val="28"/>
        </w:rPr>
        <w:t>交通局财务制度规范，三大板块旅游公路建设资金项目</w:t>
      </w:r>
      <w:r>
        <w:rPr>
          <w:rFonts w:ascii="仿宋_GB2312" w:eastAsia="仿宋_GB2312" w:hAnsi="仿宋_GB2312" w:cs="仿宋_GB2312" w:hint="eastAsia"/>
          <w:sz w:val="28"/>
          <w:szCs w:val="28"/>
        </w:rPr>
        <w:t>设立专账，专人管理账户，资金收支合理，手续齐全，支出填写单位专用审批表，写明资金用途、金额，经由财务负责人、工程负责人、监理单</w:t>
      </w:r>
      <w:r>
        <w:rPr>
          <w:rFonts w:ascii="仿宋_GB2312" w:eastAsia="仿宋_GB2312" w:hAnsi="仿宋_GB2312" w:cs="仿宋_GB2312" w:hint="eastAsia"/>
          <w:sz w:val="28"/>
          <w:szCs w:val="28"/>
        </w:rPr>
        <w:t>位负责人签字审批，并取得相关票据，会计科目使用正确，没有挤占、截留、挪用项目资金，资金使用合规</w:t>
      </w:r>
      <w:r>
        <w:rPr>
          <w:rFonts w:ascii="仿宋_GB2312" w:eastAsia="仿宋_GB2312" w:hAnsi="仿宋_GB2312" w:cs="仿宋_GB2312" w:hint="eastAsia"/>
          <w:sz w:val="28"/>
          <w:szCs w:val="28"/>
        </w:rPr>
        <w:t>。</w:t>
      </w:r>
    </w:p>
    <w:p w:rsidR="00F55CEE" w:rsidRDefault="001145CC">
      <w:pPr>
        <w:pStyle w:val="1"/>
        <w:ind w:firstLineChars="200" w:firstLine="560"/>
        <w:rPr>
          <w:rFonts w:ascii="黑体" w:eastAsia="黑体" w:hAnsi="黑体" w:cs="黑体"/>
          <w:b w:val="0"/>
          <w:bCs/>
          <w:sz w:val="28"/>
          <w:szCs w:val="28"/>
        </w:rPr>
      </w:pPr>
      <w:bookmarkStart w:id="191" w:name="_Toc22189"/>
      <w:r>
        <w:rPr>
          <w:rFonts w:ascii="黑体" w:eastAsia="黑体" w:hAnsi="黑体" w:cs="黑体" w:hint="eastAsia"/>
          <w:b w:val="0"/>
          <w:bCs/>
          <w:sz w:val="28"/>
          <w:szCs w:val="28"/>
        </w:rPr>
        <w:t>五、存在的问题及原因分析</w:t>
      </w:r>
      <w:bookmarkEnd w:id="191"/>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绩效考核意识薄弱，未设置阶段性绩效目标</w:t>
      </w:r>
    </w:p>
    <w:p w:rsidR="00F55CEE" w:rsidRDefault="001145CC">
      <w:pPr>
        <w:pStyle w:val="a0"/>
        <w:spacing w:after="0" w:line="360" w:lineRule="auto"/>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三大板块旅游公路建设资金项目未按期申报绩效目标，各绩效指标设置合理，无自评报告，并且项目</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年度的施工计划不够细致完善，不符合当年的工作实际情况，无法考核项目</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年完成情况。阶段性绩效目标是项目一个时期内建设情况的重要考核依据，仅通过整体目标无法对建设周期长、运营时间长的项目进行分段考核。</w:t>
      </w:r>
    </w:p>
    <w:p w:rsidR="00F55CEE" w:rsidRDefault="001145CC">
      <w:pPr>
        <w:spacing w:line="360" w:lineRule="auto"/>
        <w:ind w:firstLineChars="200" w:firstLine="560"/>
        <w:rPr>
          <w:rFonts w:ascii="仿宋_GB2312" w:eastAsia="仿宋_GB2312" w:hAnsi="仿宋_GB2312" w:cs="仿宋_GB2312"/>
          <w:sz w:val="28"/>
          <w:szCs w:val="28"/>
        </w:rPr>
      </w:pPr>
      <w:bookmarkStart w:id="192" w:name="_Toc1083"/>
      <w:bookmarkStart w:id="193" w:name="_Toc16136"/>
      <w:bookmarkStart w:id="194" w:name="_Toc14786"/>
      <w:r>
        <w:rPr>
          <w:rFonts w:ascii="仿宋_GB2312" w:eastAsia="仿宋_GB2312" w:hAnsi="仿宋_GB2312" w:cs="仿宋_GB2312" w:hint="eastAsia"/>
          <w:sz w:val="28"/>
          <w:szCs w:val="28"/>
        </w:rPr>
        <w:t>2.</w:t>
      </w:r>
      <w:r>
        <w:rPr>
          <w:rFonts w:ascii="仿宋_GB2312" w:eastAsia="仿宋_GB2312" w:hAnsi="仿宋_GB2312" w:cs="仿宋_GB2312" w:hint="eastAsia"/>
          <w:color w:val="FF0000"/>
          <w:sz w:val="28"/>
          <w:szCs w:val="28"/>
        </w:rPr>
        <w:t>工程付款不及时</w:t>
      </w:r>
      <w:r>
        <w:rPr>
          <w:rFonts w:ascii="仿宋_GB2312" w:eastAsia="仿宋_GB2312" w:hAnsi="仿宋_GB2312" w:cs="仿宋_GB2312" w:hint="eastAsia"/>
          <w:sz w:val="28"/>
          <w:szCs w:val="28"/>
        </w:rPr>
        <w:t>，项目资金使用率低</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黎城县政府在制定预算方案时，制定了详细的预算资金明细，合计金额</w:t>
      </w:r>
      <w:r>
        <w:rPr>
          <w:rFonts w:ascii="仿宋_GB2312" w:eastAsia="仿宋_GB2312" w:hAnsi="仿宋_GB2312" w:cs="仿宋_GB2312" w:hint="eastAsia"/>
          <w:sz w:val="28"/>
          <w:szCs w:val="28"/>
        </w:rPr>
        <w:t>4368.00</w:t>
      </w:r>
      <w:r>
        <w:rPr>
          <w:rFonts w:ascii="仿宋_GB2312" w:eastAsia="仿宋_GB2312" w:hAnsi="仿宋_GB2312" w:cs="仿宋_GB2312" w:hint="eastAsia"/>
          <w:sz w:val="28"/>
          <w:szCs w:val="28"/>
        </w:rPr>
        <w:t>万元。经检查了解到黎城县交通运输局实际支付项目</w:t>
      </w:r>
      <w:r>
        <w:rPr>
          <w:rFonts w:ascii="仿宋_GB2312" w:eastAsia="仿宋_GB2312" w:hAnsi="仿宋_GB2312" w:cs="仿宋_GB2312" w:hint="eastAsia"/>
          <w:sz w:val="28"/>
          <w:szCs w:val="28"/>
        </w:rPr>
        <w:lastRenderedPageBreak/>
        <w:t>金额</w:t>
      </w:r>
      <w:r>
        <w:rPr>
          <w:rFonts w:ascii="仿宋_GB2312" w:eastAsia="仿宋_GB2312" w:hAnsi="仿宋_GB2312" w:cs="仿宋_GB2312" w:hint="eastAsia"/>
          <w:sz w:val="28"/>
          <w:szCs w:val="28"/>
        </w:rPr>
        <w:t>1402.20</w:t>
      </w:r>
      <w:r>
        <w:rPr>
          <w:rFonts w:ascii="仿宋_GB2312" w:eastAsia="仿宋_GB2312" w:hAnsi="仿宋_GB2312" w:cs="仿宋_GB2312" w:hint="eastAsia"/>
          <w:sz w:val="28"/>
          <w:szCs w:val="28"/>
        </w:rPr>
        <w:t>万元，严重低于预算资金，未严格按照计划推进工作，说明对日常工作既定计划执行不到位，不利于项目管理。</w:t>
      </w:r>
    </w:p>
    <w:p w:rsidR="00F55CEE" w:rsidRDefault="001145CC">
      <w:pPr>
        <w:pStyle w:val="a0"/>
        <w:numPr>
          <w:ilvl w:val="0"/>
          <w:numId w:val="3"/>
        </w:num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工程实施进度缓慢，验收不及时</w:t>
      </w:r>
    </w:p>
    <w:p w:rsidR="00F55CEE" w:rsidRDefault="001145CC" w:rsidP="00DC5F81">
      <w:pPr>
        <w:pStyle w:val="a0"/>
        <w:ind w:leftChars="200" w:left="420"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黎城县交通运输局于</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日与山西亿承建设工程有限公司签订太行板块旅游公路长治市黎城县白岩寺旅游公路工程施工合同协议书（即：港东</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白岩寺段），约定工期为：按照监理人指示开工，工期为</w:t>
      </w:r>
      <w:r>
        <w:rPr>
          <w:rFonts w:ascii="仿宋_GB2312" w:eastAsia="仿宋_GB2312" w:hAnsi="仿宋_GB2312" w:cs="仿宋_GB2312" w:hint="eastAsia"/>
          <w:sz w:val="28"/>
          <w:szCs w:val="28"/>
        </w:rPr>
        <w:t>420</w:t>
      </w:r>
      <w:r>
        <w:rPr>
          <w:rFonts w:ascii="仿宋_GB2312" w:eastAsia="仿宋_GB2312" w:hAnsi="仿宋_GB2312" w:cs="仿宋_GB2312" w:hint="eastAsia"/>
          <w:sz w:val="28"/>
          <w:szCs w:val="28"/>
        </w:rPr>
        <w:t>日历天。</w:t>
      </w:r>
      <w:r>
        <w:rPr>
          <w:rFonts w:ascii="仿宋_GB2312" w:eastAsia="仿宋_GB2312" w:hAnsi="仿宋_GB2312" w:cs="仿宋_GB2312"/>
          <w:sz w:val="28"/>
          <w:szCs w:val="28"/>
        </w:rPr>
        <w:t>经检查了解到</w:t>
      </w:r>
      <w:r>
        <w:rPr>
          <w:rFonts w:ascii="仿宋_GB2312" w:eastAsia="仿宋_GB2312" w:hAnsi="仿宋_GB2312" w:cs="仿宋_GB2312" w:hint="eastAsia"/>
          <w:sz w:val="28"/>
          <w:szCs w:val="28"/>
        </w:rPr>
        <w:t>该工程于</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月开工，至今项目建设完成未进行验收。其他路段也存在诸如上述的情况，整体工程进度实施缓慢，</w:t>
      </w:r>
      <w:r>
        <w:rPr>
          <w:rFonts w:ascii="仿宋_GB2312" w:eastAsia="仿宋_GB2312" w:hAnsi="仿宋_GB2312" w:cs="仿宋_GB2312"/>
          <w:sz w:val="28"/>
          <w:szCs w:val="28"/>
        </w:rPr>
        <w:t>未严格按照计划推进工作，不利于项目管理。</w:t>
      </w:r>
    </w:p>
    <w:p w:rsidR="00F55CEE" w:rsidRDefault="001145CC">
      <w:pPr>
        <w:pStyle w:val="1"/>
        <w:spacing w:line="360" w:lineRule="auto"/>
        <w:ind w:firstLineChars="200" w:firstLine="560"/>
      </w:pPr>
      <w:bookmarkStart w:id="195" w:name="_Toc12259"/>
      <w:r>
        <w:rPr>
          <w:rFonts w:ascii="黑体" w:eastAsia="黑体" w:hAnsi="黑体" w:cs="黑体" w:hint="eastAsia"/>
          <w:b w:val="0"/>
          <w:bCs/>
          <w:sz w:val="28"/>
          <w:szCs w:val="28"/>
        </w:rPr>
        <w:t>六、有关建议</w:t>
      </w:r>
      <w:bookmarkEnd w:id="195"/>
    </w:p>
    <w:bookmarkEnd w:id="192"/>
    <w:bookmarkEnd w:id="193"/>
    <w:bookmarkEnd w:id="194"/>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完善工作计划，按规定按时申报绩效目标</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建议三大板块旅游公路项目根据项目具体工作流程、施工进度，制定工作计划。项目绩效目标的设定应当与工程进展情况相结合细化产出指标，更加直观有效的反映项目具体建设情况，考核依据更加充分。在今后的项目建设、运营中，重视绩效评价工作，加强绩效考核意识，使绩效考核真正成为政府有效、适度调控项目的重要方式，提高公共产品与服务供给的质量，提升项目能力与效率的手段。</w:t>
      </w:r>
    </w:p>
    <w:p w:rsidR="00F55CEE" w:rsidRDefault="001145CC">
      <w:pPr>
        <w:ind w:firstLineChars="200" w:firstLine="560"/>
        <w:rPr>
          <w:rFonts w:ascii="仿宋_GB2312" w:eastAsia="仿宋_GB2312" w:hAnsi="仿宋_GB2312" w:cs="仿宋_GB2312"/>
          <w:sz w:val="28"/>
          <w:szCs w:val="28"/>
        </w:rPr>
      </w:pPr>
      <w:bookmarkStart w:id="196" w:name="_Toc17156"/>
      <w:bookmarkStart w:id="197" w:name="_Toc15487"/>
      <w:bookmarkStart w:id="198" w:name="_Toc8752"/>
      <w:bookmarkStart w:id="199" w:name="_Toc8355"/>
      <w:bookmarkStart w:id="200" w:name="_Toc31576"/>
      <w:bookmarkStart w:id="201" w:name="_Toc6579"/>
      <w:bookmarkStart w:id="202" w:name="_Toc12123"/>
      <w:bookmarkStart w:id="203" w:name="_Toc21006"/>
      <w:bookmarkStart w:id="204" w:name="_Toc30882"/>
      <w:bookmarkStart w:id="205" w:name="_Toc1474"/>
      <w:bookmarkStart w:id="206" w:name="_Toc5166"/>
      <w:bookmarkStart w:id="207" w:name="_Toc24058"/>
      <w:bookmarkStart w:id="208" w:name="_Toc338"/>
      <w:bookmarkStart w:id="209" w:name="_Toc12749"/>
      <w:bookmarkStart w:id="210" w:name="_Toc2162"/>
      <w:bookmarkStart w:id="211" w:name="_Toc21319"/>
      <w:bookmarkStart w:id="212" w:name="_Toc8"/>
      <w:bookmarkStart w:id="213" w:name="_Toc15942"/>
      <w:bookmarkStart w:id="214" w:name="_Toc10863"/>
      <w:bookmarkStart w:id="215" w:name="_Toc2024"/>
      <w:bookmarkStart w:id="216" w:name="_Toc16311"/>
      <w:bookmarkStart w:id="217" w:name="_Toc1439"/>
      <w:bookmarkStart w:id="218" w:name="_Toc10038"/>
      <w:bookmarkStart w:id="219" w:name="_Toc8018"/>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严格预算执行，强化预算监督管理，提高项目资金的使用效率</w:t>
      </w:r>
    </w:p>
    <w:p w:rsidR="00F55CEE" w:rsidRDefault="001145C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黎城县交通运输局在今后的工作中制定工作计划时需更加细致，根据实际工作量以及人员情况合理安排专项资金，</w:t>
      </w:r>
      <w:r>
        <w:rPr>
          <w:rFonts w:ascii="仿宋_GB2312" w:eastAsia="仿宋_GB2312" w:hAnsi="仿宋_GB2312" w:cs="仿宋_GB2312" w:hint="eastAsia"/>
          <w:sz w:val="28"/>
          <w:szCs w:val="28"/>
        </w:rPr>
        <w:t>对已制定的工作进</w:t>
      </w:r>
      <w:r>
        <w:rPr>
          <w:rFonts w:ascii="仿宋_GB2312" w:eastAsia="仿宋_GB2312" w:hAnsi="仿宋_GB2312" w:cs="仿宋_GB2312" w:hint="eastAsia"/>
          <w:sz w:val="28"/>
          <w:szCs w:val="28"/>
        </w:rPr>
        <w:lastRenderedPageBreak/>
        <w:t>度要严格执行，不随意更改。待工程实施过程中完成之后黎城县交通运输局应将费用按合同正常支付给乙方，它关系到整个工程交工验收时间。黎城县交通运输局在今后旅游公路建设相关工作中提高效率，提前准备，做好前期工作，加快工作进度，促使施工单位更快完成工作。</w:t>
      </w:r>
    </w:p>
    <w:p w:rsidR="00F55CEE" w:rsidRDefault="001145CC" w:rsidP="00DC5F81">
      <w:pPr>
        <w:pStyle w:val="a0"/>
        <w:ind w:leftChars="200" w:left="42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加强日常工作管理，严格按照工程进度推进</w:t>
      </w:r>
    </w:p>
    <w:p w:rsidR="00F55CEE" w:rsidRDefault="001145C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交通运输局在今后的工作中制定工作计划时需更加细致，根据实际工作量以及人员情况合理安排工程，对已制定的工作进度要严格执行，不随意更改。待工程实施过程中完成之后黎城县交通运输局及时组织进行验收，加快工作进</w:t>
      </w:r>
      <w:r>
        <w:rPr>
          <w:rFonts w:ascii="仿宋_GB2312" w:eastAsia="仿宋_GB2312" w:hAnsi="仿宋_GB2312" w:cs="仿宋_GB2312" w:hint="eastAsia"/>
          <w:sz w:val="28"/>
          <w:szCs w:val="28"/>
        </w:rPr>
        <w:t>度，促使三大板块旅游公路更快验收通车。</w:t>
      </w:r>
    </w:p>
    <w:p w:rsidR="00F55CEE" w:rsidRDefault="001145CC">
      <w:pPr>
        <w:pStyle w:val="1"/>
        <w:ind w:firstLineChars="200" w:firstLine="560"/>
        <w:rPr>
          <w:rFonts w:ascii="黑体" w:eastAsia="黑体" w:hAnsi="黑体" w:cs="黑体"/>
          <w:b w:val="0"/>
          <w:bCs/>
          <w:sz w:val="28"/>
          <w:szCs w:val="28"/>
        </w:rPr>
      </w:pPr>
      <w:bookmarkStart w:id="220" w:name="_Toc29053"/>
      <w:r>
        <w:rPr>
          <w:rFonts w:ascii="黑体" w:eastAsia="黑体" w:hAnsi="黑体" w:cs="黑体" w:hint="eastAsia"/>
          <w:b w:val="0"/>
          <w:bCs/>
          <w:sz w:val="28"/>
          <w:szCs w:val="28"/>
        </w:rPr>
        <w:t>七、</w:t>
      </w:r>
      <w:r>
        <w:rPr>
          <w:rFonts w:ascii="黑体" w:eastAsia="黑体" w:hAnsi="黑体" w:cs="黑体" w:hint="eastAsia"/>
          <w:b w:val="0"/>
          <w:bCs/>
          <w:sz w:val="28"/>
          <w:szCs w:val="28"/>
        </w:rPr>
        <w:t>其他需说明的问题</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尽管评价组从前期调研、方案设计和修改、数据采集到报告撰写，一直本着严谨客观的工作态度去完成此次绩效评价工作，尽量做到了科学和全面，并且针对</w:t>
      </w:r>
      <w:r>
        <w:rPr>
          <w:rFonts w:ascii="仿宋_GB2312" w:eastAsia="仿宋_GB2312" w:hAnsi="仿宋_GB2312" w:cs="仿宋_GB2312" w:hint="eastAsia"/>
          <w:sz w:val="28"/>
          <w:szCs w:val="28"/>
        </w:rPr>
        <w:t>三大板块旅游公路项目</w:t>
      </w:r>
      <w:r>
        <w:rPr>
          <w:rFonts w:ascii="仿宋_GB2312" w:eastAsia="仿宋_GB2312" w:hAnsi="仿宋_GB2312" w:cs="仿宋_GB2312" w:hint="eastAsia"/>
          <w:sz w:val="28"/>
          <w:szCs w:val="28"/>
        </w:rPr>
        <w:t>的实际情况也开展了一些创新性的工作，但是仍然存在着一些局限性：</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对于评价中的数据和信息，除一部分是通过座谈、调研获取外，我们也根据建设工程项目的实际情况设计了一些用于的调查表进行取数，其余是从项目单位、有关部门提供的文件、方案及凭证、报表等资料中获得；同时，为了进一步保障报告内容的全面</w:t>
      </w:r>
      <w:r>
        <w:rPr>
          <w:rFonts w:ascii="仿宋_GB2312" w:eastAsia="仿宋_GB2312" w:hAnsi="仿宋_GB2312" w:cs="仿宋_GB2312" w:hint="eastAsia"/>
          <w:sz w:val="28"/>
          <w:szCs w:val="28"/>
        </w:rPr>
        <w:t>性与客观性，有的是通过网络</w:t>
      </w:r>
      <w:r>
        <w:rPr>
          <w:rFonts w:ascii="仿宋_GB2312" w:eastAsia="仿宋_GB2312" w:hAnsi="仿宋_GB2312" w:cs="仿宋_GB2312" w:hint="eastAsia"/>
          <w:sz w:val="28"/>
          <w:szCs w:val="28"/>
        </w:rPr>
        <w:t>搜</w:t>
      </w:r>
      <w:r>
        <w:rPr>
          <w:rFonts w:ascii="仿宋_GB2312" w:eastAsia="仿宋_GB2312" w:hAnsi="仿宋_GB2312" w:cs="仿宋_GB2312" w:hint="eastAsia"/>
          <w:sz w:val="28"/>
          <w:szCs w:val="28"/>
        </w:rPr>
        <w:t>索获得，数据难以一一核实。</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评价组通过指标来反映项目的绩效情况，指标体系的科学</w:t>
      </w:r>
      <w:r>
        <w:rPr>
          <w:rFonts w:ascii="仿宋_GB2312" w:eastAsia="仿宋_GB2312" w:hAnsi="仿宋_GB2312" w:cs="仿宋_GB2312" w:hint="eastAsia"/>
          <w:sz w:val="28"/>
          <w:szCs w:val="28"/>
        </w:rPr>
        <w:lastRenderedPageBreak/>
        <w:t>性和全面性仍然需要不断的完善和研究，在指标标杆值方面，缺乏历史标准，评价组在标杆值设定方面更多的参考了该项目的计划标准。</w:t>
      </w:r>
    </w:p>
    <w:p w:rsidR="00F55CEE" w:rsidRDefault="00F55CEE">
      <w:pPr>
        <w:pStyle w:val="a0"/>
        <w:spacing w:after="0" w:line="360" w:lineRule="auto"/>
        <w:ind w:firstLineChars="200" w:firstLine="560"/>
        <w:rPr>
          <w:rFonts w:ascii="仿宋_GB2312" w:eastAsia="仿宋_GB2312" w:hAnsi="仿宋_GB2312" w:cs="仿宋_GB2312"/>
          <w:sz w:val="28"/>
          <w:szCs w:val="28"/>
        </w:rPr>
      </w:pPr>
    </w:p>
    <w:p w:rsidR="00F55CEE" w:rsidRDefault="00F55CEE">
      <w:pPr>
        <w:pStyle w:val="a0"/>
        <w:spacing w:after="0" w:line="360" w:lineRule="auto"/>
        <w:ind w:firstLineChars="200" w:firstLine="560"/>
        <w:rPr>
          <w:rFonts w:ascii="仿宋_GB2312" w:eastAsia="仿宋_GB2312" w:hAnsi="仿宋_GB2312" w:cs="仿宋_GB2312"/>
          <w:sz w:val="28"/>
          <w:szCs w:val="28"/>
        </w:rPr>
      </w:pPr>
    </w:p>
    <w:p w:rsidR="00F55CEE" w:rsidRDefault="001145CC">
      <w:pPr>
        <w:pStyle w:val="a0"/>
        <w:spacing w:after="0" w:line="360" w:lineRule="auto"/>
        <w:ind w:firstLineChars="1400" w:firstLine="3920"/>
        <w:rPr>
          <w:rFonts w:ascii="仿宋_GB2312" w:eastAsia="仿宋_GB2312" w:hAnsi="仿宋_GB2312" w:cs="仿宋_GB2312"/>
          <w:sz w:val="28"/>
          <w:szCs w:val="28"/>
        </w:rPr>
      </w:pPr>
      <w:r>
        <w:rPr>
          <w:rFonts w:ascii="仿宋_GB2312" w:eastAsia="仿宋_GB2312" w:hAnsi="仿宋_GB2312" w:cs="仿宋_GB2312" w:hint="eastAsia"/>
          <w:sz w:val="28"/>
          <w:szCs w:val="28"/>
        </w:rPr>
        <w:t>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w:t>
      </w:r>
    </w:p>
    <w:p w:rsidR="00F55CEE" w:rsidRDefault="001145CC">
      <w:pPr>
        <w:pStyle w:val="a0"/>
        <w:rPr>
          <w:rFonts w:ascii="黑体" w:eastAsia="黑体" w:hAnsi="黑体" w:cs="黑体"/>
          <w:sz w:val="28"/>
          <w:szCs w:val="28"/>
        </w:rPr>
      </w:pP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p>
    <w:p w:rsidR="00F55CEE" w:rsidRDefault="001145CC">
      <w:pPr>
        <w:rPr>
          <w:rFonts w:ascii="黑体" w:eastAsia="黑体" w:hAnsi="黑体" w:cs="黑体"/>
          <w:sz w:val="28"/>
          <w:szCs w:val="28"/>
        </w:rPr>
      </w:pPr>
      <w:r>
        <w:rPr>
          <w:rFonts w:ascii="黑体" w:eastAsia="黑体" w:hAnsi="黑体" w:cs="黑体" w:hint="eastAsia"/>
          <w:sz w:val="28"/>
          <w:szCs w:val="28"/>
        </w:rPr>
        <w:br w:type="page"/>
      </w:r>
    </w:p>
    <w:p w:rsidR="00F55CEE" w:rsidRDefault="001145CC">
      <w:pPr>
        <w:pStyle w:val="1"/>
        <w:spacing w:line="0" w:lineRule="atLeast"/>
        <w:ind w:right="0"/>
        <w:rPr>
          <w:rFonts w:ascii="黑体" w:eastAsia="黑体" w:hAnsi="黑体" w:cs="黑体"/>
          <w:sz w:val="24"/>
          <w:szCs w:val="24"/>
        </w:rPr>
      </w:pPr>
      <w:bookmarkStart w:id="221" w:name="_Toc14250"/>
      <w:r>
        <w:rPr>
          <w:rFonts w:ascii="黑体" w:eastAsia="黑体" w:hAnsi="黑体" w:cs="黑体" w:hint="eastAsia"/>
          <w:sz w:val="24"/>
          <w:szCs w:val="24"/>
        </w:rPr>
        <w:lastRenderedPageBreak/>
        <w:t>附件</w:t>
      </w:r>
      <w:r>
        <w:rPr>
          <w:rFonts w:ascii="黑体" w:eastAsia="黑体" w:hAnsi="黑体" w:cs="黑体" w:hint="eastAsia"/>
          <w:sz w:val="24"/>
          <w:szCs w:val="24"/>
        </w:rPr>
        <w:t>1</w:t>
      </w:r>
      <w:r>
        <w:rPr>
          <w:rFonts w:ascii="黑体" w:eastAsia="黑体" w:hAnsi="黑体" w:cs="黑体" w:hint="eastAsia"/>
          <w:sz w:val="24"/>
          <w:szCs w:val="24"/>
        </w:rPr>
        <w:t>：</w:t>
      </w:r>
      <w:bookmarkStart w:id="222" w:name="_Toc27713"/>
      <w:bookmarkEnd w:id="221"/>
    </w:p>
    <w:p w:rsidR="00F55CEE" w:rsidRDefault="001145CC">
      <w:pPr>
        <w:pStyle w:val="1"/>
        <w:jc w:val="center"/>
        <w:rPr>
          <w:rFonts w:ascii="黑体" w:eastAsia="黑体" w:hAnsi="黑体" w:cs="黑体"/>
          <w:b w:val="0"/>
          <w:bCs/>
          <w:sz w:val="48"/>
          <w:szCs w:val="48"/>
        </w:rPr>
      </w:pPr>
      <w:bookmarkStart w:id="223" w:name="_Toc11304"/>
      <w:r>
        <w:rPr>
          <w:rFonts w:ascii="黑体" w:eastAsia="黑体" w:hAnsi="黑体" w:cs="黑体" w:hint="eastAsia"/>
          <w:sz w:val="36"/>
          <w:szCs w:val="36"/>
        </w:rPr>
        <w:t>绩效评价工作情况</w:t>
      </w:r>
      <w:bookmarkEnd w:id="222"/>
      <w:bookmarkEnd w:id="223"/>
    </w:p>
    <w:p w:rsidR="00F55CEE" w:rsidRDefault="001145CC">
      <w:pPr>
        <w:spacing w:line="360" w:lineRule="auto"/>
        <w:ind w:firstLineChars="200" w:firstLine="560"/>
        <w:rPr>
          <w:rFonts w:ascii="仿宋_GB2312" w:eastAsia="仿宋_GB2312" w:hAnsi="仿宋_GB2312" w:cs="仿宋_GB2312"/>
          <w:sz w:val="28"/>
          <w:szCs w:val="28"/>
        </w:rPr>
      </w:pPr>
      <w:bookmarkStart w:id="224" w:name="_Toc22083"/>
      <w:bookmarkStart w:id="225" w:name="_Toc5612"/>
      <w:bookmarkStart w:id="226" w:name="_Toc13413"/>
      <w:bookmarkStart w:id="227" w:name="_Toc26603"/>
      <w:bookmarkStart w:id="228" w:name="_Toc2800"/>
      <w:bookmarkStart w:id="229" w:name="_Toc13102"/>
      <w:bookmarkStart w:id="230" w:name="_Toc22640"/>
      <w:bookmarkStart w:id="231" w:name="_Toc26704"/>
      <w:bookmarkStart w:id="232" w:name="_Toc10543"/>
      <w:bookmarkStart w:id="233" w:name="_Toc29374"/>
      <w:bookmarkStart w:id="234" w:name="_Toc723"/>
      <w:bookmarkStart w:id="235" w:name="_Toc3608"/>
      <w:bookmarkStart w:id="236" w:name="_Toc5292"/>
      <w:bookmarkStart w:id="237" w:name="_Toc26564"/>
      <w:r>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绩效评价目的</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本次绩效评价遵循财政部关于印发《长治市财政局</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年预算绩效评价实施方案》的通知文件有关规定，客观、全面、公正地评价</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年三大板块旅游公路建设资金项目</w:t>
      </w:r>
      <w:r>
        <w:rPr>
          <w:rFonts w:ascii="仿宋_GB2312" w:eastAsia="仿宋_GB2312" w:hAnsi="仿宋_GB2312" w:cs="仿宋_GB2312" w:hint="eastAsia"/>
          <w:sz w:val="28"/>
          <w:szCs w:val="28"/>
        </w:rPr>
        <w:t>预算管理，资金使用与支出效益情况以及相关工程施工开展情况，总结资金管理经验，发现项目资金管理中存在的问题，提出相关的建议和应采取的措施。</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绩效评价原则</w:t>
      </w:r>
    </w:p>
    <w:p w:rsidR="00F55CEE" w:rsidRDefault="001145CC">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相关性原则，绩效评价指标与</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年三大板块旅游公路建设资金情况相结合</w:t>
      </w:r>
      <w:r>
        <w:rPr>
          <w:rFonts w:ascii="仿宋_GB2312" w:eastAsia="仿宋_GB2312" w:hAnsi="仿宋_GB2312" w:cs="仿宋_GB2312" w:hint="eastAsia"/>
          <w:sz w:val="28"/>
          <w:szCs w:val="28"/>
        </w:rPr>
        <w:t>，为</w:t>
      </w:r>
      <w:r>
        <w:rPr>
          <w:rFonts w:ascii="仿宋_GB2312" w:eastAsia="仿宋_GB2312" w:hAnsi="仿宋_GB2312" w:cs="仿宋_GB2312" w:hint="eastAsia"/>
          <w:sz w:val="28"/>
          <w:szCs w:val="28"/>
        </w:rPr>
        <w:t>黎城旅游道路建设</w:t>
      </w:r>
      <w:r>
        <w:rPr>
          <w:rFonts w:ascii="仿宋_GB2312" w:eastAsia="仿宋_GB2312" w:hAnsi="仿宋_GB2312" w:cs="仿宋_GB2312" w:hint="eastAsia"/>
          <w:sz w:val="28"/>
          <w:szCs w:val="28"/>
        </w:rPr>
        <w:t>、提升</w:t>
      </w:r>
      <w:r>
        <w:rPr>
          <w:rFonts w:ascii="仿宋_GB2312" w:eastAsia="仿宋_GB2312" w:hAnsi="仿宋_GB2312" w:cs="仿宋_GB2312" w:hint="eastAsia"/>
          <w:sz w:val="28"/>
          <w:szCs w:val="28"/>
        </w:rPr>
        <w:t>旅游设施、加强林地资源保护、满意度</w:t>
      </w:r>
      <w:r>
        <w:rPr>
          <w:rFonts w:ascii="仿宋_GB2312" w:eastAsia="仿宋_GB2312" w:hAnsi="仿宋_GB2312" w:cs="仿宋_GB2312" w:hint="eastAsia"/>
          <w:sz w:val="28"/>
          <w:szCs w:val="28"/>
        </w:rPr>
        <w:t>的绩效目标有直接的联系，能够恰当反映目标的实现程度；</w:t>
      </w:r>
    </w:p>
    <w:p w:rsidR="00F55CEE" w:rsidRDefault="001145CC">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w:t>
      </w:r>
      <w:r>
        <w:rPr>
          <w:rFonts w:ascii="仿宋_GB2312" w:eastAsia="仿宋_GB2312" w:hAnsi="仿宋_GB2312" w:cs="仿宋_GB2312" w:hint="eastAsia"/>
          <w:sz w:val="28"/>
          <w:szCs w:val="28"/>
        </w:rPr>
        <w:t>重要性原则，绩效评价指标优先使用了资金到位率、资金使用合规性、项目完成率等指标，着重考察资金使用情况；</w:t>
      </w:r>
    </w:p>
    <w:p w:rsidR="00F55CEE" w:rsidRDefault="001145CC">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w:t>
      </w:r>
      <w:r>
        <w:rPr>
          <w:rFonts w:ascii="仿宋_GB2312" w:eastAsia="仿宋_GB2312" w:hAnsi="仿宋_GB2312" w:cs="仿宋_GB2312" w:hint="eastAsia"/>
          <w:sz w:val="28"/>
          <w:szCs w:val="28"/>
        </w:rPr>
        <w:t>可比性原则，对比</w:t>
      </w:r>
      <w:r>
        <w:rPr>
          <w:rFonts w:ascii="仿宋_GB2312" w:eastAsia="仿宋_GB2312" w:hAnsi="仿宋_GB2312" w:cs="仿宋_GB2312" w:hint="eastAsia"/>
          <w:sz w:val="28"/>
          <w:szCs w:val="28"/>
        </w:rPr>
        <w:t>其他地区旅游公路建设情况</w:t>
      </w:r>
      <w:r>
        <w:rPr>
          <w:rFonts w:ascii="仿宋_GB2312" w:eastAsia="仿宋_GB2312" w:hAnsi="仿宋_GB2312" w:cs="仿宋_GB2312" w:hint="eastAsia"/>
          <w:sz w:val="28"/>
          <w:szCs w:val="28"/>
        </w:rPr>
        <w:t>，以及资金使用情况，设定了共性的绩效评价指标，便于抽查结果相互比较；</w:t>
      </w:r>
    </w:p>
    <w:p w:rsidR="00F55CEE" w:rsidRDefault="001145CC">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4.</w:t>
      </w:r>
      <w:r>
        <w:rPr>
          <w:rFonts w:ascii="仿宋_GB2312" w:eastAsia="仿宋_GB2312" w:hAnsi="仿宋_GB2312" w:cs="仿宋_GB2312" w:hint="eastAsia"/>
          <w:sz w:val="28"/>
          <w:szCs w:val="28"/>
        </w:rPr>
        <w:t>系统性原则，绩效评价指标将定量指标与定性指标相结合，系统反映出</w:t>
      </w:r>
      <w:r>
        <w:rPr>
          <w:rFonts w:ascii="仿宋_GB2312" w:eastAsia="仿宋_GB2312" w:hAnsi="仿宋_GB2312" w:cs="仿宋_GB2312" w:hint="eastAsia"/>
          <w:sz w:val="28"/>
          <w:szCs w:val="28"/>
        </w:rPr>
        <w:t>该项目</w:t>
      </w:r>
      <w:r>
        <w:rPr>
          <w:rFonts w:ascii="仿宋_GB2312" w:eastAsia="仿宋_GB2312" w:hAnsi="仿宋_GB2312" w:cs="仿宋_GB2312" w:hint="eastAsia"/>
          <w:sz w:val="28"/>
          <w:szCs w:val="28"/>
        </w:rPr>
        <w:t>所产生的社会效益、可持续影响等；</w:t>
      </w:r>
    </w:p>
    <w:p w:rsidR="00F55CEE" w:rsidRDefault="001145CC">
      <w:pPr>
        <w:spacing w:line="360" w:lineRule="auto"/>
        <w:ind w:firstLine="420"/>
        <w:rPr>
          <w:rFonts w:ascii="仿宋_GB2312" w:eastAsia="仿宋_GB2312" w:hAnsi="仿宋_GB2312" w:cs="仿宋_GB2312"/>
        </w:rPr>
      </w:pPr>
      <w:r>
        <w:rPr>
          <w:rFonts w:ascii="仿宋_GB2312" w:eastAsia="仿宋_GB2312" w:hAnsi="仿宋_GB2312" w:cs="仿宋_GB2312" w:hint="eastAsia"/>
          <w:sz w:val="28"/>
          <w:szCs w:val="28"/>
        </w:rPr>
        <w:t xml:space="preserve"> 5.</w:t>
      </w:r>
      <w:r>
        <w:rPr>
          <w:rFonts w:ascii="仿宋_GB2312" w:eastAsia="仿宋_GB2312" w:hAnsi="仿宋_GB2312" w:cs="仿宋_GB2312" w:hint="eastAsia"/>
          <w:sz w:val="28"/>
          <w:szCs w:val="28"/>
        </w:rPr>
        <w:t>经济性原则，绩效评价指标通俗易懂、简便易行，数据的获得考虑了现实条件和可操作性，符合成本效益原则。</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绩效评价依据</w:t>
      </w:r>
    </w:p>
    <w:p w:rsidR="00F55CEE" w:rsidRDefault="001145CC">
      <w:pPr>
        <w:pStyle w:val="a0"/>
        <w:numPr>
          <w:ilvl w:val="0"/>
          <w:numId w:val="4"/>
        </w:numPr>
        <w:spacing w:after="0"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《中华人民共和国预算法》；</w:t>
      </w:r>
    </w:p>
    <w:p w:rsidR="00F55CEE" w:rsidRDefault="001145CC">
      <w:pPr>
        <w:pStyle w:val="a0"/>
        <w:numPr>
          <w:ilvl w:val="0"/>
          <w:numId w:val="4"/>
        </w:numPr>
        <w:spacing w:after="0"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《中共中央</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国务院关于全面实施预算绩效管理的意见》（中发〔</w:t>
      </w:r>
      <w:r>
        <w:rPr>
          <w:rFonts w:ascii="仿宋_GB2312" w:eastAsia="仿宋_GB2312" w:hAnsi="仿宋_GB2312" w:cs="仿宋_GB2312" w:hint="eastAsia"/>
          <w:sz w:val="28"/>
          <w:szCs w:val="28"/>
        </w:rPr>
        <w:t>2018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34</w:t>
      </w:r>
      <w:r>
        <w:rPr>
          <w:rFonts w:ascii="仿宋_GB2312" w:eastAsia="仿宋_GB2312" w:hAnsi="仿宋_GB2312" w:cs="仿宋_GB2312" w:hint="eastAsia"/>
          <w:sz w:val="28"/>
          <w:szCs w:val="28"/>
        </w:rPr>
        <w:t>号）</w:t>
      </w:r>
    </w:p>
    <w:p w:rsidR="00F55CEE" w:rsidRDefault="001145CC">
      <w:pPr>
        <w:pStyle w:val="a0"/>
        <w:numPr>
          <w:ilvl w:val="0"/>
          <w:numId w:val="4"/>
        </w:numPr>
        <w:spacing w:after="0"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《关于全面推进我省预算绩效管理的指导意见》（晋政办发〔</w:t>
      </w:r>
      <w:r>
        <w:rPr>
          <w:rFonts w:ascii="仿宋_GB2312" w:eastAsia="仿宋_GB2312" w:hAnsi="仿宋_GB2312" w:cs="仿宋_GB2312" w:hint="eastAsia"/>
          <w:sz w:val="28"/>
          <w:szCs w:val="28"/>
        </w:rPr>
        <w:t>2013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80</w:t>
      </w:r>
      <w:r>
        <w:rPr>
          <w:rFonts w:ascii="仿宋_GB2312" w:eastAsia="仿宋_GB2312" w:hAnsi="仿宋_GB2312" w:cs="仿宋_GB2312" w:hint="eastAsia"/>
          <w:sz w:val="28"/>
          <w:szCs w:val="28"/>
        </w:rPr>
        <w:t>号）；</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4</w:t>
      </w:r>
      <w:r>
        <w:rPr>
          <w:rFonts w:ascii="仿宋_GB2312" w:eastAsia="仿宋_GB2312" w:hAnsi="仿宋_GB2312" w:cs="仿宋_GB2312" w:hint="eastAsia"/>
          <w:kern w:val="0"/>
          <w:sz w:val="28"/>
          <w:szCs w:val="28"/>
        </w:rPr>
        <w:t>）</w:t>
      </w:r>
      <w:r>
        <w:rPr>
          <w:rFonts w:ascii="仿宋_GB2312" w:eastAsia="仿宋_GB2312" w:hAnsi="仿宋_GB2312" w:cs="仿宋_GB2312" w:hint="eastAsia"/>
          <w:sz w:val="28"/>
          <w:szCs w:val="28"/>
        </w:rPr>
        <w:t>《项目支出绩效评价管理</w:t>
      </w:r>
      <w:r>
        <w:rPr>
          <w:rFonts w:ascii="仿宋_GB2312" w:eastAsia="仿宋_GB2312" w:hAnsi="仿宋_GB2312" w:cs="仿宋_GB2312" w:hint="eastAsia"/>
          <w:sz w:val="28"/>
          <w:szCs w:val="28"/>
        </w:rPr>
        <w:t>办法》（财政部财预〔</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号）</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《长治市财政局</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关于印发长治市财政局</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年预算绩效评价实施方案》</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绩效评价工作过程</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为了顺利完成</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年三大板块旅游公路建设资金</w:t>
      </w:r>
      <w:r>
        <w:rPr>
          <w:rFonts w:ascii="仿宋_GB2312" w:eastAsia="仿宋_GB2312" w:hAnsi="仿宋_GB2312" w:cs="仿宋_GB2312" w:hint="eastAsia"/>
          <w:sz w:val="28"/>
          <w:szCs w:val="28"/>
        </w:rPr>
        <w:t>的绩效评价任务，自该项目评价工作启动以来，长治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组建了评价组。评价组通过深入了解该项目的基本情况，收集、整理了该项目相关的资料、文件，明确了该项目的评价目的、方法、目标、标准，制定了绩效评价工作方案，并严格按照工作方案实施，开展了社会调查、数据采集、分析、复核及撰写报告等一系列工作，完成了对</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w:t>
      </w:r>
      <w:r>
        <w:rPr>
          <w:rFonts w:ascii="仿宋_GB2312" w:eastAsia="仿宋_GB2312" w:hAnsi="仿宋_GB2312" w:cs="仿宋_GB2312" w:hint="eastAsia"/>
          <w:sz w:val="28"/>
          <w:szCs w:val="28"/>
        </w:rPr>
        <w:t>板块旅游公路建设资金</w:t>
      </w:r>
      <w:r>
        <w:rPr>
          <w:rFonts w:ascii="仿宋_GB2312" w:eastAsia="仿宋_GB2312" w:hAnsi="仿宋_GB2312" w:cs="仿宋_GB2312" w:hint="eastAsia"/>
          <w:sz w:val="28"/>
          <w:szCs w:val="28"/>
        </w:rPr>
        <w:t>的绩效评价工作。具体情况如下：</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前期准备</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为使</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年三大板块旅游公路建设资金</w:t>
      </w:r>
      <w:r>
        <w:rPr>
          <w:rFonts w:ascii="仿宋_GB2312" w:eastAsia="仿宋_GB2312" w:hAnsi="仿宋_GB2312" w:cs="仿宋_GB2312" w:hint="eastAsia"/>
          <w:sz w:val="28"/>
          <w:szCs w:val="28"/>
        </w:rPr>
        <w:t>绩效评价工作顺利开展，长治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会计师事务所有限公司组织注册会计师及相关专业人士成立了评价工作组，工作组构成情况见下表：</w:t>
      </w:r>
    </w:p>
    <w:p w:rsidR="00F55CEE" w:rsidRDefault="001145CC">
      <w:pPr>
        <w:jc w:val="center"/>
        <w:rPr>
          <w:rFonts w:ascii="仿宋_GB2312" w:eastAsia="仿宋_GB2312" w:hAnsi="仿宋_GB2312" w:cs="仿宋_GB2312"/>
          <w:sz w:val="24"/>
        </w:rPr>
      </w:pPr>
      <w:r>
        <w:rPr>
          <w:rFonts w:ascii="仿宋_GB2312" w:eastAsia="仿宋_GB2312" w:hAnsi="仿宋_GB2312" w:cs="仿宋_GB2312" w:hint="eastAsia"/>
          <w:sz w:val="24"/>
        </w:rPr>
        <w:t>绩效评价组构成情况表</w:t>
      </w:r>
    </w:p>
    <w:tbl>
      <w:tblPr>
        <w:tblStyle w:val="aa"/>
        <w:tblW w:w="8778" w:type="dxa"/>
        <w:tblLayout w:type="fixed"/>
        <w:tblLook w:val="04A0"/>
      </w:tblPr>
      <w:tblGrid>
        <w:gridCol w:w="717"/>
        <w:gridCol w:w="1155"/>
        <w:gridCol w:w="1220"/>
        <w:gridCol w:w="2680"/>
        <w:gridCol w:w="3006"/>
      </w:tblGrid>
      <w:tr w:rsidR="00F55CEE">
        <w:trPr>
          <w:trHeight w:val="340"/>
          <w:tblHeader/>
        </w:trPr>
        <w:tc>
          <w:tcPr>
            <w:tcW w:w="717" w:type="dxa"/>
            <w:shd w:val="clear" w:color="auto" w:fill="D8D8D8" w:themeFill="background1" w:themeFillShade="D8"/>
            <w:vAlign w:val="center"/>
          </w:tcPr>
          <w:p w:rsidR="00F55CEE" w:rsidRDefault="001145CC">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lastRenderedPageBreak/>
              <w:t>序号</w:t>
            </w:r>
          </w:p>
        </w:tc>
        <w:tc>
          <w:tcPr>
            <w:tcW w:w="1155" w:type="dxa"/>
            <w:shd w:val="clear" w:color="auto" w:fill="D8D8D8" w:themeFill="background1" w:themeFillShade="D8"/>
            <w:vAlign w:val="center"/>
          </w:tcPr>
          <w:p w:rsidR="00F55CEE" w:rsidRDefault="001145CC">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职务</w:t>
            </w:r>
          </w:p>
        </w:tc>
        <w:tc>
          <w:tcPr>
            <w:tcW w:w="1220" w:type="dxa"/>
            <w:shd w:val="clear" w:color="auto" w:fill="D8D8D8" w:themeFill="background1" w:themeFillShade="D8"/>
            <w:vAlign w:val="center"/>
          </w:tcPr>
          <w:p w:rsidR="00F55CEE" w:rsidRDefault="001145CC">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姓名</w:t>
            </w:r>
          </w:p>
        </w:tc>
        <w:tc>
          <w:tcPr>
            <w:tcW w:w="2680" w:type="dxa"/>
            <w:shd w:val="clear" w:color="auto" w:fill="D8D8D8" w:themeFill="background1" w:themeFillShade="D8"/>
            <w:vAlign w:val="center"/>
          </w:tcPr>
          <w:p w:rsidR="00F55CEE" w:rsidRDefault="001145CC">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职务</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职称</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学历</w:t>
            </w:r>
          </w:p>
        </w:tc>
        <w:tc>
          <w:tcPr>
            <w:tcW w:w="3006" w:type="dxa"/>
            <w:shd w:val="clear" w:color="auto" w:fill="D8D8D8" w:themeFill="background1" w:themeFillShade="D8"/>
            <w:vAlign w:val="center"/>
          </w:tcPr>
          <w:p w:rsidR="00F55CEE" w:rsidRDefault="001145CC">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分工</w:t>
            </w:r>
          </w:p>
        </w:tc>
      </w:tr>
      <w:tr w:rsidR="00F55CEE">
        <w:trPr>
          <w:trHeight w:val="340"/>
        </w:trPr>
        <w:tc>
          <w:tcPr>
            <w:tcW w:w="717"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1</w:t>
            </w:r>
          </w:p>
        </w:tc>
        <w:tc>
          <w:tcPr>
            <w:tcW w:w="1155"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组长</w:t>
            </w:r>
          </w:p>
        </w:tc>
        <w:tc>
          <w:tcPr>
            <w:tcW w:w="1220"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郭翼凤</w:t>
            </w:r>
          </w:p>
        </w:tc>
        <w:tc>
          <w:tcPr>
            <w:tcW w:w="2680"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总经理</w:t>
            </w:r>
            <w:r>
              <w:rPr>
                <w:rFonts w:ascii="仿宋_GB2312" w:eastAsia="仿宋_GB2312" w:hAnsi="仿宋_GB2312" w:cs="仿宋_GB2312" w:hint="eastAsia"/>
                <w:sz w:val="20"/>
                <w:szCs w:val="20"/>
                <w:lang w:eastAsia="zh-TW"/>
              </w:rPr>
              <w:t>/</w:t>
            </w:r>
            <w:r>
              <w:rPr>
                <w:rFonts w:ascii="仿宋_GB2312" w:eastAsia="仿宋_GB2312" w:hAnsi="仿宋_GB2312" w:cs="仿宋_GB2312" w:hint="eastAsia"/>
                <w:sz w:val="20"/>
                <w:szCs w:val="20"/>
                <w:lang w:eastAsia="zh-TW"/>
              </w:rPr>
              <w:t>注册会计师</w:t>
            </w:r>
          </w:p>
        </w:tc>
        <w:tc>
          <w:tcPr>
            <w:tcW w:w="3006"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负责起草方案、评价报告</w:t>
            </w:r>
          </w:p>
        </w:tc>
      </w:tr>
      <w:tr w:rsidR="00F55CEE">
        <w:trPr>
          <w:trHeight w:val="340"/>
        </w:trPr>
        <w:tc>
          <w:tcPr>
            <w:tcW w:w="717"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2</w:t>
            </w:r>
          </w:p>
        </w:tc>
        <w:tc>
          <w:tcPr>
            <w:tcW w:w="1155"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副组长</w:t>
            </w:r>
          </w:p>
        </w:tc>
        <w:tc>
          <w:tcPr>
            <w:tcW w:w="1220"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冯彦波</w:t>
            </w:r>
          </w:p>
        </w:tc>
        <w:tc>
          <w:tcPr>
            <w:tcW w:w="2680"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副经理</w:t>
            </w:r>
            <w:r>
              <w:rPr>
                <w:rFonts w:ascii="仿宋_GB2312" w:eastAsia="仿宋_GB2312" w:hAnsi="仿宋_GB2312" w:cs="仿宋_GB2312" w:hint="eastAsia"/>
                <w:sz w:val="20"/>
                <w:szCs w:val="20"/>
                <w:lang w:eastAsia="zh-TW"/>
              </w:rPr>
              <w:t>/</w:t>
            </w:r>
            <w:r>
              <w:rPr>
                <w:rFonts w:ascii="仿宋_GB2312" w:eastAsia="仿宋_GB2312" w:hAnsi="仿宋_GB2312" w:cs="仿宋_GB2312" w:hint="eastAsia"/>
                <w:sz w:val="20"/>
                <w:szCs w:val="20"/>
                <w:lang w:eastAsia="zh-TW"/>
              </w:rPr>
              <w:t>注册会计师</w:t>
            </w:r>
          </w:p>
        </w:tc>
        <w:tc>
          <w:tcPr>
            <w:tcW w:w="3006"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负责联络、协调和修改报告</w:t>
            </w:r>
          </w:p>
        </w:tc>
      </w:tr>
      <w:tr w:rsidR="00F55CEE">
        <w:trPr>
          <w:trHeight w:val="340"/>
        </w:trPr>
        <w:tc>
          <w:tcPr>
            <w:tcW w:w="717"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3</w:t>
            </w:r>
          </w:p>
        </w:tc>
        <w:tc>
          <w:tcPr>
            <w:tcW w:w="1155" w:type="dxa"/>
            <w:vMerge w:val="restart"/>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成员</w:t>
            </w:r>
          </w:p>
        </w:tc>
        <w:tc>
          <w:tcPr>
            <w:tcW w:w="1220" w:type="dxa"/>
            <w:vAlign w:val="center"/>
          </w:tcPr>
          <w:p w:rsidR="00F55CEE" w:rsidRDefault="001145CC">
            <w:pPr>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张慧娟</w:t>
            </w:r>
          </w:p>
        </w:tc>
        <w:tc>
          <w:tcPr>
            <w:tcW w:w="2680"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注册会计师</w:t>
            </w:r>
          </w:p>
        </w:tc>
        <w:tc>
          <w:tcPr>
            <w:tcW w:w="3006"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负责现场调查、资料收集</w:t>
            </w:r>
          </w:p>
        </w:tc>
      </w:tr>
      <w:tr w:rsidR="00F55CEE">
        <w:trPr>
          <w:trHeight w:val="340"/>
        </w:trPr>
        <w:tc>
          <w:tcPr>
            <w:tcW w:w="717"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4</w:t>
            </w:r>
          </w:p>
        </w:tc>
        <w:tc>
          <w:tcPr>
            <w:tcW w:w="1155" w:type="dxa"/>
            <w:vMerge/>
            <w:vAlign w:val="center"/>
          </w:tcPr>
          <w:p w:rsidR="00F55CEE" w:rsidRDefault="00F55CEE">
            <w:pPr>
              <w:jc w:val="center"/>
              <w:rPr>
                <w:rFonts w:ascii="仿宋_GB2312" w:eastAsia="仿宋_GB2312" w:hAnsi="仿宋_GB2312" w:cs="仿宋_GB2312"/>
                <w:sz w:val="20"/>
                <w:szCs w:val="20"/>
                <w:lang w:eastAsia="zh-TW"/>
              </w:rPr>
            </w:pPr>
          </w:p>
        </w:tc>
        <w:tc>
          <w:tcPr>
            <w:tcW w:w="1220"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郭</w:t>
            </w:r>
            <w:r>
              <w:rPr>
                <w:rFonts w:ascii="仿宋_GB2312" w:eastAsia="仿宋_GB2312" w:hAnsi="仿宋_GB2312" w:cs="仿宋_GB2312" w:hint="eastAsia"/>
                <w:sz w:val="20"/>
                <w:szCs w:val="20"/>
                <w:lang w:eastAsia="zh-TW"/>
              </w:rPr>
              <w:t xml:space="preserve">  </w:t>
            </w:r>
            <w:r>
              <w:rPr>
                <w:rFonts w:ascii="仿宋_GB2312" w:eastAsia="仿宋_GB2312" w:hAnsi="仿宋_GB2312" w:cs="仿宋_GB2312" w:hint="eastAsia"/>
                <w:sz w:val="20"/>
                <w:szCs w:val="20"/>
                <w:lang w:eastAsia="zh-TW"/>
              </w:rPr>
              <w:t>月</w:t>
            </w:r>
          </w:p>
        </w:tc>
        <w:tc>
          <w:tcPr>
            <w:tcW w:w="2680"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助理人员</w:t>
            </w:r>
          </w:p>
        </w:tc>
        <w:tc>
          <w:tcPr>
            <w:tcW w:w="3006" w:type="dxa"/>
            <w:vAlign w:val="center"/>
          </w:tcPr>
          <w:p w:rsidR="00F55CEE" w:rsidRDefault="001145CC">
            <w:pPr>
              <w:spacing w:line="240" w:lineRule="exact"/>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负责起草方案和报告现场调查、资料收集</w:t>
            </w:r>
          </w:p>
        </w:tc>
      </w:tr>
      <w:tr w:rsidR="00F55CEE">
        <w:trPr>
          <w:trHeight w:val="340"/>
        </w:trPr>
        <w:tc>
          <w:tcPr>
            <w:tcW w:w="717"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5</w:t>
            </w:r>
          </w:p>
        </w:tc>
        <w:tc>
          <w:tcPr>
            <w:tcW w:w="1155" w:type="dxa"/>
            <w:vMerge/>
            <w:vAlign w:val="center"/>
          </w:tcPr>
          <w:p w:rsidR="00F55CEE" w:rsidRDefault="00F55CEE">
            <w:pPr>
              <w:jc w:val="center"/>
              <w:rPr>
                <w:rFonts w:ascii="仿宋_GB2312" w:eastAsia="仿宋_GB2312" w:hAnsi="仿宋_GB2312" w:cs="仿宋_GB2312"/>
                <w:sz w:val="20"/>
                <w:szCs w:val="20"/>
                <w:lang w:eastAsia="zh-TW"/>
              </w:rPr>
            </w:pPr>
          </w:p>
        </w:tc>
        <w:tc>
          <w:tcPr>
            <w:tcW w:w="1220" w:type="dxa"/>
            <w:vAlign w:val="center"/>
          </w:tcPr>
          <w:p w:rsidR="00F55CEE" w:rsidRDefault="001145CC">
            <w:pPr>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陈亚雯</w:t>
            </w:r>
          </w:p>
        </w:tc>
        <w:tc>
          <w:tcPr>
            <w:tcW w:w="2680"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助理人员</w:t>
            </w:r>
          </w:p>
        </w:tc>
        <w:tc>
          <w:tcPr>
            <w:tcW w:w="3006" w:type="dxa"/>
            <w:vAlign w:val="center"/>
          </w:tcPr>
          <w:p w:rsidR="00F55CEE" w:rsidRDefault="001145CC">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负责数据统计</w:t>
            </w:r>
          </w:p>
        </w:tc>
      </w:tr>
    </w:tbl>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我公司组织评价组认真学习相关法律法规及有关政策，明确绩效评价的目的、意义、对象、工作步骤和相关要求等。在此基础上，对有关工作要求、时间安排做了全面部署。评价组积极与</w:t>
      </w:r>
      <w:r>
        <w:rPr>
          <w:rFonts w:ascii="仿宋_GB2312" w:eastAsia="仿宋_GB2312" w:hAnsi="仿宋_GB2312" w:cs="仿宋_GB2312" w:hint="eastAsia"/>
          <w:sz w:val="28"/>
          <w:szCs w:val="28"/>
        </w:rPr>
        <w:t>交通局联系</w:t>
      </w:r>
      <w:r>
        <w:rPr>
          <w:rFonts w:ascii="仿宋_GB2312" w:eastAsia="仿宋_GB2312" w:hAnsi="仿宋_GB2312" w:cs="仿宋_GB2312" w:hint="eastAsia"/>
          <w:sz w:val="28"/>
          <w:szCs w:val="28"/>
        </w:rPr>
        <w:t>，通过开展访谈进行沟通与协调，了解项目资金使用、项目管理的总体情况，听取项目单位对绩效评价体系设立的意见和建议，对工作方案、问卷及访谈内容听取意见。评价组于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13</w:t>
      </w:r>
      <w:r>
        <w:rPr>
          <w:rFonts w:ascii="仿宋_GB2312" w:eastAsia="仿宋_GB2312" w:hAnsi="仿宋_GB2312" w:cs="仿宋_GB2312" w:hint="eastAsia"/>
          <w:sz w:val="28"/>
          <w:szCs w:val="28"/>
        </w:rPr>
        <w:t>日前完成工作方案的编写，并交</w:t>
      </w:r>
      <w:r>
        <w:rPr>
          <w:rFonts w:ascii="仿宋_GB2312" w:eastAsia="仿宋_GB2312" w:hAnsi="仿宋_GB2312" w:cs="仿宋_GB2312" w:hint="eastAsia"/>
          <w:sz w:val="28"/>
          <w:szCs w:val="28"/>
        </w:rPr>
        <w:t>黎城县</w:t>
      </w:r>
      <w:r>
        <w:rPr>
          <w:rFonts w:ascii="仿宋_GB2312" w:eastAsia="仿宋_GB2312" w:hAnsi="仿宋_GB2312" w:cs="仿宋_GB2312" w:hint="eastAsia"/>
          <w:sz w:val="28"/>
          <w:szCs w:val="28"/>
        </w:rPr>
        <w:t>财政局备案。</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组织实施</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由项目组进行走访</w:t>
      </w:r>
      <w:r>
        <w:rPr>
          <w:rFonts w:ascii="仿宋_GB2312" w:eastAsia="仿宋_GB2312" w:hAnsi="仿宋_GB2312" w:cs="仿宋_GB2312" w:hint="eastAsia"/>
          <w:sz w:val="28"/>
          <w:szCs w:val="28"/>
        </w:rPr>
        <w:t>项目实施主体</w:t>
      </w:r>
      <w:r>
        <w:rPr>
          <w:rFonts w:ascii="仿宋_GB2312" w:eastAsia="仿宋_GB2312" w:hAnsi="仿宋_GB2312" w:cs="仿宋_GB2312" w:hint="eastAsia"/>
          <w:sz w:val="28"/>
          <w:szCs w:val="28"/>
        </w:rPr>
        <w:t>，收集该项目相关政策文件、资金拨付明细、管理制度、会计凭证等资料；核查相关制度是否完善，项目资金申报、审批、下拨等程序是否符合要求，资金分配、使用是否合规，拨付手续是否齐全，是否存在挤占、截留、挪用等情况。项目组在</w:t>
      </w:r>
      <w:r>
        <w:rPr>
          <w:rFonts w:ascii="仿宋_GB2312" w:eastAsia="仿宋_GB2312" w:hAnsi="仿宋_GB2312" w:cs="仿宋_GB2312" w:hint="eastAsia"/>
          <w:sz w:val="28"/>
          <w:szCs w:val="28"/>
        </w:rPr>
        <w:t>交通局</w:t>
      </w:r>
      <w:r>
        <w:rPr>
          <w:rFonts w:ascii="仿宋_GB2312" w:eastAsia="仿宋_GB2312" w:hAnsi="仿宋_GB2312" w:cs="仿宋_GB2312" w:hint="eastAsia"/>
          <w:sz w:val="28"/>
          <w:szCs w:val="28"/>
        </w:rPr>
        <w:t>选取了一定数量的资料，核查相关教案、档案资料，组织问卷、访谈等社会调查。</w:t>
      </w:r>
      <w:r>
        <w:rPr>
          <w:rFonts w:ascii="仿宋_GB2312" w:eastAsia="仿宋_GB2312" w:hAnsi="仿宋_GB2312" w:cs="仿宋_GB2312" w:hint="eastAsia"/>
          <w:sz w:val="28"/>
          <w:szCs w:val="28"/>
        </w:rPr>
        <w:t>评价组根据资料初步形成评价方案并确认指标体系。</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分析评价</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评价组根据收集和整理的相关基础资料，对项目的资金到位落实情况、项目实施情况进行整理和分析，同时对获得的相关数据、材料</w:t>
      </w:r>
      <w:r>
        <w:rPr>
          <w:rFonts w:ascii="仿宋_GB2312" w:eastAsia="仿宋_GB2312" w:hAnsi="仿宋_GB2312" w:cs="仿宋_GB2312" w:hint="eastAsia"/>
          <w:sz w:val="28"/>
          <w:szCs w:val="28"/>
        </w:rPr>
        <w:lastRenderedPageBreak/>
        <w:t>进行归纳、分析、总结。</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根据绩</w:t>
      </w:r>
      <w:r>
        <w:rPr>
          <w:rFonts w:ascii="仿宋_GB2312" w:eastAsia="仿宋_GB2312" w:hAnsi="仿宋_GB2312" w:cs="仿宋_GB2312" w:hint="eastAsia"/>
          <w:sz w:val="28"/>
          <w:szCs w:val="28"/>
        </w:rPr>
        <w:t>效分析内容得出评价结论、项目实施所积累的主要经验与启示、项目在实施过程中存在的主要问题与其产生原因，最后为进一步发挥绩效评价的作用，促进项目执行部门提高预算效率而提出相关政策建议，以供参考。项目组撰写并就绩效评价报告初稿向</w:t>
      </w:r>
      <w:r>
        <w:rPr>
          <w:rFonts w:ascii="仿宋_GB2312" w:eastAsia="仿宋_GB2312" w:hAnsi="仿宋_GB2312" w:cs="仿宋_GB2312" w:hint="eastAsia"/>
          <w:sz w:val="28"/>
          <w:szCs w:val="28"/>
        </w:rPr>
        <w:t>黎城县</w:t>
      </w:r>
      <w:r>
        <w:rPr>
          <w:rFonts w:ascii="仿宋_GB2312" w:eastAsia="仿宋_GB2312" w:hAnsi="仿宋_GB2312" w:cs="仿宋_GB2312" w:hint="eastAsia"/>
          <w:sz w:val="28"/>
          <w:szCs w:val="28"/>
        </w:rPr>
        <w:t>财政局征求意见；根据专家评审的反馈意见修改完善并提交绩效评价正式报告。</w: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底稿归档</w:t>
      </w:r>
    </w:p>
    <w:p w:rsidR="00F55CEE" w:rsidRDefault="001145CC">
      <w:pPr>
        <w:spacing w:line="360" w:lineRule="auto"/>
        <w:ind w:firstLineChars="200" w:firstLine="560"/>
        <w:rPr>
          <w:rFonts w:ascii="仿宋_GB2312" w:eastAsia="仿宋_GB2312" w:hAnsi="仿宋_GB2312" w:cs="仿宋_GB2312"/>
          <w:sz w:val="28"/>
          <w:szCs w:val="28"/>
        </w:rPr>
        <w:sectPr w:rsidR="00F55CEE">
          <w:footerReference w:type="default" r:id="rId22"/>
          <w:pgSz w:w="11906" w:h="16838"/>
          <w:pgMar w:top="1440" w:right="1800" w:bottom="1440" w:left="1800" w:header="907" w:footer="964" w:gutter="0"/>
          <w:pgNumType w:fmt="numberInDash" w:start="1"/>
          <w:cols w:space="425"/>
          <w:docGrid w:type="lines" w:linePitch="312"/>
        </w:sectPr>
      </w:pPr>
      <w:r>
        <w:rPr>
          <w:rFonts w:ascii="仿宋_GB2312" w:eastAsia="仿宋_GB2312" w:hAnsi="仿宋_GB2312" w:cs="仿宋_GB2312" w:hint="eastAsia"/>
          <w:sz w:val="28"/>
          <w:szCs w:val="28"/>
        </w:rPr>
        <w:t>对绩效评价前三个阶段涉及到访谈记录、修改记录、初稿以及其他与项目相关的业务财务资料连同最后的绩效评价报告进行整理和归档。</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rsidR="00F55CEE" w:rsidRDefault="00F55CEE">
      <w:pPr>
        <w:pStyle w:val="a0"/>
        <w:outlineLvl w:val="0"/>
        <w:rPr>
          <w:rStyle w:val="1Char"/>
          <w:rFonts w:ascii="黑体" w:eastAsia="黑体" w:hAnsi="黑体" w:cs="黑体"/>
          <w:b w:val="0"/>
          <w:bCs/>
          <w:sz w:val="24"/>
          <w:szCs w:val="24"/>
        </w:rPr>
      </w:pPr>
    </w:p>
    <w:p w:rsidR="00F55CEE" w:rsidRDefault="001145CC">
      <w:pPr>
        <w:pStyle w:val="a0"/>
        <w:outlineLvl w:val="0"/>
        <w:rPr>
          <w:rStyle w:val="1Char"/>
          <w:rFonts w:ascii="黑体" w:eastAsia="黑体" w:hAnsi="黑体" w:cs="黑体"/>
          <w:b w:val="0"/>
          <w:bCs/>
          <w:sz w:val="24"/>
          <w:szCs w:val="24"/>
        </w:rPr>
      </w:pPr>
      <w:bookmarkStart w:id="238" w:name="_Toc463"/>
      <w:r>
        <w:rPr>
          <w:rStyle w:val="1Char"/>
          <w:rFonts w:ascii="黑体" w:eastAsia="黑体" w:hAnsi="黑体" w:cs="黑体" w:hint="eastAsia"/>
          <w:b w:val="0"/>
          <w:bCs/>
          <w:sz w:val="24"/>
          <w:szCs w:val="24"/>
        </w:rPr>
        <w:t>附件</w:t>
      </w:r>
      <w:r>
        <w:rPr>
          <w:rStyle w:val="1Char"/>
          <w:rFonts w:ascii="黑体" w:eastAsia="黑体" w:hAnsi="黑体" w:cs="黑体" w:hint="eastAsia"/>
          <w:b w:val="0"/>
          <w:bCs/>
          <w:sz w:val="24"/>
          <w:szCs w:val="24"/>
        </w:rPr>
        <w:t>2</w:t>
      </w:r>
      <w:r>
        <w:rPr>
          <w:rStyle w:val="1Char"/>
          <w:rFonts w:ascii="黑体" w:eastAsia="黑体" w:hAnsi="黑体" w:cs="黑体" w:hint="eastAsia"/>
          <w:b w:val="0"/>
          <w:bCs/>
          <w:sz w:val="24"/>
          <w:szCs w:val="24"/>
        </w:rPr>
        <w:t>：</w:t>
      </w:r>
      <w:bookmarkEnd w:id="238"/>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1"/>
        <w:gridCol w:w="700"/>
        <w:gridCol w:w="3241"/>
        <w:gridCol w:w="2840"/>
        <w:gridCol w:w="828"/>
      </w:tblGrid>
      <w:tr w:rsidR="00F55CEE">
        <w:trPr>
          <w:trHeight w:val="452"/>
          <w:tblHeader/>
        </w:trPr>
        <w:tc>
          <w:tcPr>
            <w:tcW w:w="5000" w:type="pct"/>
            <w:gridSpan w:val="5"/>
            <w:shd w:val="clear" w:color="auto" w:fill="D7D7D7"/>
            <w:noWrap/>
            <w:vAlign w:val="center"/>
          </w:tcPr>
          <w:p w:rsidR="00F55CEE" w:rsidRDefault="001145CC">
            <w:pPr>
              <w:widowControl/>
              <w:jc w:val="center"/>
              <w:textAlignment w:val="center"/>
              <w:rPr>
                <w:rFonts w:ascii="楷体_GB2312" w:eastAsia="楷体_GB2312" w:hAnsi="楷体_GB2312" w:cs="楷体_GB2312"/>
                <w:b/>
                <w:bCs/>
                <w:color w:val="000000"/>
                <w:sz w:val="20"/>
                <w:szCs w:val="20"/>
              </w:rPr>
            </w:pPr>
            <w:bookmarkStart w:id="239" w:name="_Toc9818"/>
            <w:bookmarkStart w:id="240" w:name="_Toc25287"/>
            <w:bookmarkStart w:id="241" w:name="_Toc26177"/>
            <w:bookmarkStart w:id="242" w:name="_Toc25495"/>
            <w:bookmarkStart w:id="243" w:name="_Toc11255"/>
            <w:r>
              <w:rPr>
                <w:rFonts w:ascii="楷体_GB2312" w:eastAsia="楷体_GB2312" w:hAnsi="楷体_GB2312" w:cs="楷体_GB2312" w:hint="eastAsia"/>
                <w:b/>
                <w:bCs/>
                <w:color w:val="000000"/>
                <w:kern w:val="0"/>
                <w:sz w:val="20"/>
                <w:szCs w:val="20"/>
                <w:lang/>
              </w:rPr>
              <w:t>2020</w:t>
            </w:r>
            <w:r>
              <w:rPr>
                <w:rFonts w:ascii="楷体_GB2312" w:eastAsia="楷体_GB2312" w:hAnsi="楷体_GB2312" w:cs="楷体_GB2312" w:hint="eastAsia"/>
                <w:b/>
                <w:bCs/>
                <w:color w:val="000000"/>
                <w:kern w:val="0"/>
                <w:sz w:val="20"/>
                <w:szCs w:val="20"/>
                <w:lang/>
              </w:rPr>
              <w:t>年三大板块旅游公路建设资金绩效评价得分表</w:t>
            </w:r>
          </w:p>
        </w:tc>
      </w:tr>
      <w:tr w:rsidR="00F55CEE">
        <w:trPr>
          <w:trHeight w:val="436"/>
          <w:tblHeader/>
        </w:trPr>
        <w:tc>
          <w:tcPr>
            <w:tcW w:w="607" w:type="pct"/>
            <w:shd w:val="clear" w:color="auto" w:fill="D7D7D7"/>
            <w:noWrap/>
            <w:vAlign w:val="center"/>
          </w:tcPr>
          <w:p w:rsidR="00F55CEE" w:rsidRDefault="001145CC">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指标名称</w:t>
            </w:r>
          </w:p>
        </w:tc>
        <w:tc>
          <w:tcPr>
            <w:tcW w:w="404" w:type="pct"/>
            <w:shd w:val="clear" w:color="auto" w:fill="D7D7D7"/>
            <w:noWrap/>
            <w:vAlign w:val="center"/>
          </w:tcPr>
          <w:p w:rsidR="00F55CEE" w:rsidRDefault="001145CC">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权重</w:t>
            </w:r>
          </w:p>
        </w:tc>
        <w:tc>
          <w:tcPr>
            <w:tcW w:w="1871" w:type="pct"/>
            <w:shd w:val="clear" w:color="auto" w:fill="D7D7D7"/>
            <w:noWrap/>
            <w:vAlign w:val="center"/>
          </w:tcPr>
          <w:p w:rsidR="00F55CEE" w:rsidRDefault="001145CC">
            <w:pPr>
              <w:jc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评分标准</w:t>
            </w:r>
          </w:p>
        </w:tc>
        <w:tc>
          <w:tcPr>
            <w:tcW w:w="1640" w:type="pct"/>
            <w:shd w:val="clear" w:color="auto" w:fill="D7D7D7"/>
            <w:noWrap/>
            <w:vAlign w:val="center"/>
          </w:tcPr>
          <w:p w:rsidR="00F55CEE" w:rsidRDefault="001145CC">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得分依据</w:t>
            </w:r>
          </w:p>
        </w:tc>
        <w:tc>
          <w:tcPr>
            <w:tcW w:w="476" w:type="pct"/>
            <w:shd w:val="clear" w:color="auto" w:fill="D7D7D7"/>
            <w:noWrap/>
            <w:vAlign w:val="center"/>
          </w:tcPr>
          <w:p w:rsidR="00F55CEE" w:rsidRDefault="001145CC">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分数</w:t>
            </w:r>
          </w:p>
        </w:tc>
      </w:tr>
      <w:tr w:rsidR="00F55CEE">
        <w:trPr>
          <w:trHeight w:val="550"/>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A101</w:t>
            </w:r>
            <w:r>
              <w:rPr>
                <w:rFonts w:ascii="楷体_GB2312" w:eastAsia="楷体_GB2312" w:hAnsi="楷体_GB2312" w:cs="楷体_GB2312" w:hint="eastAsia"/>
                <w:color w:val="000000"/>
                <w:kern w:val="0"/>
                <w:sz w:val="20"/>
                <w:szCs w:val="20"/>
                <w:lang/>
              </w:rPr>
              <w:t>项目立项规范性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5%</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项目设立是否符合当地需求（</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项目设立是否经过相关部门规划审批（</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项目设立符合当地需求，依据《山西省交通运输厅关于农村旅游公路建设规划（</w:t>
            </w:r>
            <w:r>
              <w:rPr>
                <w:rFonts w:ascii="楷体_GB2312" w:eastAsia="楷体_GB2312" w:hAnsi="楷体_GB2312" w:cs="楷体_GB2312" w:hint="eastAsia"/>
                <w:color w:val="000000"/>
                <w:sz w:val="20"/>
                <w:szCs w:val="20"/>
              </w:rPr>
              <w:t>2016</w:t>
            </w:r>
            <w:r>
              <w:rPr>
                <w:rFonts w:ascii="楷体_GB2312" w:eastAsia="楷体_GB2312" w:hAnsi="楷体_GB2312" w:cs="楷体_GB2312" w:hint="eastAsia"/>
                <w:color w:val="000000"/>
                <w:sz w:val="20"/>
                <w:szCs w:val="20"/>
              </w:rPr>
              <w:t>—</w:t>
            </w:r>
            <w:r>
              <w:rPr>
                <w:rFonts w:ascii="楷体_GB2312" w:eastAsia="楷体_GB2312" w:hAnsi="楷体_GB2312" w:cs="楷体_GB2312" w:hint="eastAsia"/>
                <w:color w:val="000000"/>
                <w:sz w:val="20"/>
                <w:szCs w:val="20"/>
              </w:rPr>
              <w:t>2020</w:t>
            </w:r>
            <w:r>
              <w:rPr>
                <w:rFonts w:ascii="楷体_GB2312" w:eastAsia="楷体_GB2312" w:hAnsi="楷体_GB2312" w:cs="楷体_GB2312" w:hint="eastAsia"/>
                <w:color w:val="000000"/>
                <w:sz w:val="20"/>
                <w:szCs w:val="20"/>
              </w:rPr>
              <w:t>年）》，有相关审批手续。</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r>
      <w:tr w:rsidR="00F55CEE">
        <w:trPr>
          <w:trHeight w:val="550"/>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A102</w:t>
            </w:r>
            <w:r>
              <w:rPr>
                <w:rFonts w:ascii="楷体_GB2312" w:eastAsia="楷体_GB2312" w:hAnsi="楷体_GB2312" w:cs="楷体_GB2312" w:hint="eastAsia"/>
                <w:color w:val="000000"/>
                <w:kern w:val="0"/>
                <w:sz w:val="20"/>
                <w:szCs w:val="20"/>
                <w:lang/>
              </w:rPr>
              <w:t>立项依据充分性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5%</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项目设立、申请是否符合相关要求（</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项目设立、申请是否依据充分（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color w:val="000000"/>
                <w:sz w:val="20"/>
                <w:szCs w:val="20"/>
              </w:rPr>
              <w:t>县政府授权黎城县交通局为三大板块旅游公路工程具体实施机构，符合该部门职责。项目实施满足城市快速客运需求，改善了当地居民出行环境，符合黎城县发展需求</w:t>
            </w:r>
            <w:r>
              <w:rPr>
                <w:rFonts w:ascii="楷体_GB2312" w:eastAsia="楷体_GB2312" w:hAnsi="楷体_GB2312" w:cs="楷体_GB2312" w:hint="eastAsia"/>
                <w:color w:val="000000"/>
                <w:sz w:val="20"/>
                <w:szCs w:val="20"/>
              </w:rPr>
              <w:t>。</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r>
      <w:tr w:rsidR="00F55CEE">
        <w:trPr>
          <w:trHeight w:val="90"/>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A103</w:t>
            </w:r>
            <w:r>
              <w:rPr>
                <w:rFonts w:ascii="楷体_GB2312" w:eastAsia="楷体_GB2312" w:hAnsi="楷体_GB2312" w:cs="楷体_GB2312" w:hint="eastAsia"/>
                <w:color w:val="000000"/>
                <w:kern w:val="0"/>
                <w:sz w:val="20"/>
                <w:szCs w:val="20"/>
                <w:lang/>
              </w:rPr>
              <w:t>立项程序规范性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5%</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w:t>
            </w:r>
            <w:r>
              <w:rPr>
                <w:rFonts w:ascii="楷体_GB2312" w:eastAsia="楷体_GB2312" w:hAnsi="楷体_GB2312" w:cs="楷体_GB2312" w:hint="eastAsia"/>
                <w:color w:val="000000"/>
                <w:sz w:val="20"/>
                <w:szCs w:val="20"/>
              </w:rPr>
              <w:t>该指标考察项目立项过程是否符合国家要求</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sz w:val="20"/>
                <w:szCs w:val="20"/>
              </w:rPr>
              <w:t>；</w:t>
            </w:r>
            <w:r>
              <w:rPr>
                <w:rFonts w:ascii="楷体_GB2312" w:eastAsia="楷体_GB2312" w:hAnsi="楷体_GB2312" w:cs="楷体_GB2312" w:hint="eastAsia"/>
                <w:color w:val="000000"/>
                <w:sz w:val="20"/>
                <w:szCs w:val="20"/>
              </w:rPr>
              <w:t>2.</w:t>
            </w:r>
            <w:r>
              <w:rPr>
                <w:rFonts w:ascii="楷体_GB2312" w:eastAsia="楷体_GB2312" w:hAnsi="楷体_GB2312" w:cs="楷体_GB2312" w:hint="eastAsia"/>
                <w:color w:val="000000"/>
                <w:sz w:val="20"/>
                <w:szCs w:val="20"/>
              </w:rPr>
              <w:t>是否有相关的专家学者研究论证（</w:t>
            </w:r>
            <w:r>
              <w:rPr>
                <w:rFonts w:ascii="楷体_GB2312" w:eastAsia="楷体_GB2312" w:hAnsi="楷体_GB2312" w:cs="楷体_GB2312" w:hint="eastAsia"/>
                <w:color w:val="000000"/>
                <w:sz w:val="20"/>
                <w:szCs w:val="20"/>
              </w:rPr>
              <w:t>2</w:t>
            </w:r>
            <w:r>
              <w:rPr>
                <w:rFonts w:ascii="楷体_GB2312" w:eastAsia="楷体_GB2312" w:hAnsi="楷体_GB2312" w:cs="楷体_GB2312" w:hint="eastAsia"/>
                <w:color w:val="000000"/>
                <w:sz w:val="20"/>
                <w:szCs w:val="20"/>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黎城县发改委下达黎发改审发（</w:t>
            </w:r>
            <w:r>
              <w:rPr>
                <w:rFonts w:ascii="楷体_GB2312" w:eastAsia="楷体_GB2312" w:hAnsi="楷体_GB2312" w:cs="楷体_GB2312" w:hint="eastAsia"/>
                <w:color w:val="000000"/>
                <w:sz w:val="20"/>
                <w:szCs w:val="20"/>
              </w:rPr>
              <w:t>2016</w:t>
            </w:r>
            <w:r>
              <w:rPr>
                <w:rFonts w:ascii="楷体_GB2312" w:eastAsia="楷体_GB2312" w:hAnsi="楷体_GB2312" w:cs="楷体_GB2312" w:hint="eastAsia"/>
                <w:color w:val="000000"/>
                <w:sz w:val="20"/>
                <w:szCs w:val="20"/>
              </w:rPr>
              <w:t>）</w:t>
            </w:r>
            <w:r>
              <w:rPr>
                <w:rFonts w:ascii="楷体_GB2312" w:eastAsia="楷体_GB2312" w:hAnsi="楷体_GB2312" w:cs="楷体_GB2312" w:hint="eastAsia"/>
                <w:color w:val="000000"/>
                <w:sz w:val="20"/>
                <w:szCs w:val="20"/>
              </w:rPr>
              <w:t>115</w:t>
            </w:r>
            <w:r>
              <w:rPr>
                <w:rFonts w:ascii="楷体_GB2312" w:eastAsia="楷体_GB2312" w:hAnsi="楷体_GB2312" w:cs="楷体_GB2312" w:hint="eastAsia"/>
                <w:color w:val="000000"/>
                <w:sz w:val="20"/>
                <w:szCs w:val="20"/>
              </w:rPr>
              <w:t>号、黎发改审发（</w:t>
            </w:r>
            <w:r>
              <w:rPr>
                <w:rFonts w:ascii="楷体_GB2312" w:eastAsia="楷体_GB2312" w:hAnsi="楷体_GB2312" w:cs="楷体_GB2312" w:hint="eastAsia"/>
                <w:color w:val="000000"/>
                <w:sz w:val="20"/>
                <w:szCs w:val="20"/>
              </w:rPr>
              <w:t>2017</w:t>
            </w:r>
            <w:r>
              <w:rPr>
                <w:rFonts w:ascii="楷体_GB2312" w:eastAsia="楷体_GB2312" w:hAnsi="楷体_GB2312" w:cs="楷体_GB2312" w:hint="eastAsia"/>
                <w:color w:val="000000"/>
                <w:sz w:val="20"/>
                <w:szCs w:val="20"/>
              </w:rPr>
              <w:t>）</w:t>
            </w:r>
            <w:r>
              <w:rPr>
                <w:rFonts w:ascii="楷体_GB2312" w:eastAsia="楷体_GB2312" w:hAnsi="楷体_GB2312" w:cs="楷体_GB2312" w:hint="eastAsia"/>
                <w:color w:val="000000"/>
                <w:sz w:val="20"/>
                <w:szCs w:val="20"/>
              </w:rPr>
              <w:t>43</w:t>
            </w:r>
            <w:r>
              <w:rPr>
                <w:rFonts w:ascii="楷体_GB2312" w:eastAsia="楷体_GB2312" w:hAnsi="楷体_GB2312" w:cs="楷体_GB2312" w:hint="eastAsia"/>
                <w:color w:val="000000"/>
                <w:sz w:val="20"/>
                <w:szCs w:val="20"/>
              </w:rPr>
              <w:t>号等文件批复该项目的可行性研究报告，项目立项依据充分、流程规范</w:t>
            </w:r>
          </w:p>
        </w:tc>
        <w:tc>
          <w:tcPr>
            <w:tcW w:w="476"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r>
      <w:tr w:rsidR="00F55CEE">
        <w:trPr>
          <w:trHeight w:val="550"/>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A201</w:t>
            </w:r>
            <w:r>
              <w:rPr>
                <w:rFonts w:ascii="楷体_GB2312" w:eastAsia="楷体_GB2312" w:hAnsi="楷体_GB2312" w:cs="楷体_GB2312" w:hint="eastAsia"/>
                <w:color w:val="000000"/>
                <w:kern w:val="0"/>
                <w:sz w:val="20"/>
                <w:szCs w:val="20"/>
                <w:lang/>
              </w:rPr>
              <w:t>项目预算合规性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5%</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、预算内容与项目内容是否匹配（</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、预算额度测算依据是否充分，是否按照标准编制（</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、预算确定的项目投资额或资金量是否与工作任务相匹配（</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预算内容与项目内容匹配，依据充分，项目估算总投资</w:t>
            </w:r>
            <w:r>
              <w:rPr>
                <w:rFonts w:ascii="楷体_GB2312" w:eastAsia="楷体_GB2312" w:hAnsi="楷体_GB2312" w:cs="楷体_GB2312" w:hint="eastAsia"/>
                <w:color w:val="000000"/>
                <w:kern w:val="0"/>
                <w:sz w:val="20"/>
                <w:szCs w:val="20"/>
                <w:lang/>
              </w:rPr>
              <w:t>27711.9836</w:t>
            </w:r>
            <w:r>
              <w:rPr>
                <w:rFonts w:ascii="楷体_GB2312" w:eastAsia="楷体_GB2312" w:hAnsi="楷体_GB2312" w:cs="楷体_GB2312" w:hint="eastAsia"/>
                <w:color w:val="000000"/>
                <w:kern w:val="0"/>
                <w:sz w:val="20"/>
                <w:szCs w:val="20"/>
                <w:lang/>
              </w:rPr>
              <w:t>万元，资金分配与工作任务匹配</w:t>
            </w:r>
          </w:p>
        </w:tc>
        <w:tc>
          <w:tcPr>
            <w:tcW w:w="476"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r>
      <w:tr w:rsidR="00F55CEE">
        <w:trPr>
          <w:trHeight w:val="550"/>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A202</w:t>
            </w:r>
            <w:r>
              <w:rPr>
                <w:rFonts w:ascii="楷体_GB2312" w:eastAsia="楷体_GB2312" w:hAnsi="楷体_GB2312" w:cs="楷体_GB2312" w:hint="eastAsia"/>
                <w:color w:val="000000"/>
                <w:kern w:val="0"/>
                <w:sz w:val="20"/>
                <w:szCs w:val="20"/>
                <w:lang/>
              </w:rPr>
              <w:t>绩效目标合理性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5%</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项目是否申报绩效目标，并审核通过（</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绩效目标是否符合项目建设实际情况（</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绩效目标是否细化分解为具体的绩效指标，是否通过可量化、可考核的指标值予以体现；（</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项目未申报绩效目标</w:t>
            </w:r>
          </w:p>
        </w:tc>
        <w:tc>
          <w:tcPr>
            <w:tcW w:w="476"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0.00</w:t>
            </w:r>
          </w:p>
        </w:tc>
      </w:tr>
      <w:tr w:rsidR="00F55CEE">
        <w:trPr>
          <w:trHeight w:val="550"/>
        </w:trPr>
        <w:tc>
          <w:tcPr>
            <w:tcW w:w="607" w:type="pct"/>
            <w:noWrap/>
            <w:vAlign w:val="center"/>
          </w:tcPr>
          <w:p w:rsidR="00F55CEE" w:rsidRDefault="001145CC">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B101</w:t>
            </w:r>
            <w:r>
              <w:rPr>
                <w:rFonts w:ascii="楷体_GB2312" w:eastAsia="楷体_GB2312" w:hAnsi="楷体_GB2312" w:cs="楷体_GB2312" w:hint="eastAsia"/>
                <w:color w:val="000000"/>
                <w:kern w:val="0"/>
                <w:sz w:val="20"/>
                <w:szCs w:val="20"/>
                <w:lang/>
              </w:rPr>
              <w:t>项目管理制度健全性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、是否已制定或具有相应的项目管理制度办法（</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、项目管理制度是否合法、合规、完整（</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项目已制定或具有相应的项目管理制度办法；项目管理制度是否合法、合规、完整</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F55CEE">
        <w:trPr>
          <w:trHeight w:val="550"/>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B102</w:t>
            </w:r>
            <w:r>
              <w:rPr>
                <w:rFonts w:ascii="楷体_GB2312" w:eastAsia="楷体_GB2312" w:hAnsi="楷体_GB2312" w:cs="楷体_GB2312" w:hint="eastAsia"/>
                <w:color w:val="000000"/>
                <w:kern w:val="0"/>
                <w:sz w:val="20"/>
                <w:szCs w:val="20"/>
                <w:lang/>
              </w:rPr>
              <w:t>项目招标合理性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、是否遵守相关法律法规和业务管理规定（</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、项目调整及支出调整手续是否完备（</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、项目实施的人员条件、场地设备，信息支撑等是否落实到位（</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各项目资料齐全，制度执行有效</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F55CEE">
        <w:trPr>
          <w:trHeight w:val="550"/>
        </w:trPr>
        <w:tc>
          <w:tcPr>
            <w:tcW w:w="607" w:type="pct"/>
            <w:noWrap/>
            <w:vAlign w:val="center"/>
          </w:tcPr>
          <w:p w:rsidR="00F55CEE" w:rsidRDefault="001145CC">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lastRenderedPageBreak/>
              <w:t>B103</w:t>
            </w:r>
            <w:r>
              <w:rPr>
                <w:rFonts w:ascii="楷体_GB2312" w:eastAsia="楷体_GB2312" w:hAnsi="楷体_GB2312" w:cs="楷体_GB2312" w:hint="eastAsia"/>
                <w:color w:val="000000"/>
                <w:kern w:val="0"/>
                <w:sz w:val="20"/>
                <w:szCs w:val="20"/>
                <w:lang/>
              </w:rPr>
              <w:t>项目变更程序规范性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4%</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Cs w:val="21"/>
                <w:lang/>
              </w:rPr>
            </w:pPr>
            <w:r>
              <w:rPr>
                <w:rFonts w:ascii="楷体_GB2312" w:eastAsia="楷体_GB2312" w:hAnsi="楷体_GB2312" w:cs="楷体_GB2312" w:hint="eastAsia"/>
                <w:color w:val="000000"/>
                <w:kern w:val="0"/>
                <w:szCs w:val="21"/>
                <w:lang/>
              </w:rPr>
              <w:t>评</w:t>
            </w:r>
            <w:r>
              <w:rPr>
                <w:rFonts w:ascii="楷体_GB2312" w:eastAsia="楷体_GB2312" w:hAnsi="楷体_GB2312" w:cs="楷体_GB2312" w:hint="eastAsia"/>
                <w:color w:val="000000"/>
                <w:kern w:val="0"/>
                <w:sz w:val="20"/>
                <w:szCs w:val="20"/>
                <w:lang/>
              </w:rPr>
              <w:t>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是否遵守相关法律法规和业务管理规定（</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是否按照该标准执行（</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、项目调整及支出调整手续是否完备（</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各项目资料齐全，制度执行有效</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F55CEE">
        <w:trPr>
          <w:trHeight w:val="550"/>
        </w:trPr>
        <w:tc>
          <w:tcPr>
            <w:tcW w:w="607" w:type="pct"/>
            <w:noWrap/>
            <w:vAlign w:val="center"/>
          </w:tcPr>
          <w:p w:rsidR="00F55CEE" w:rsidRDefault="001145CC">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B104</w:t>
            </w:r>
            <w:r>
              <w:rPr>
                <w:rFonts w:ascii="楷体_GB2312" w:eastAsia="楷体_GB2312" w:hAnsi="楷体_GB2312" w:cs="楷体_GB2312" w:hint="eastAsia"/>
                <w:color w:val="000000"/>
                <w:kern w:val="0"/>
                <w:sz w:val="20"/>
                <w:szCs w:val="20"/>
                <w:lang/>
              </w:rPr>
              <w:t>项目监理规范性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是否遵守相关法律法规和业务管理规定（</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是否按照该标准执行（</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各项目资料齐全，制度执行有效</w:t>
            </w:r>
          </w:p>
        </w:tc>
        <w:tc>
          <w:tcPr>
            <w:tcW w:w="476" w:type="pct"/>
            <w:noWrap/>
            <w:vAlign w:val="center"/>
          </w:tcPr>
          <w:p w:rsidR="00F55CEE" w:rsidRDefault="001145CC">
            <w:pPr>
              <w:widowControl/>
              <w:spacing w:line="300" w:lineRule="exact"/>
              <w:ind w:firstLineChars="100" w:firstLine="200"/>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F55CEE">
        <w:trPr>
          <w:trHeight w:val="1333"/>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B201</w:t>
            </w:r>
            <w:r>
              <w:rPr>
                <w:rFonts w:ascii="楷体_GB2312" w:eastAsia="楷体_GB2312" w:hAnsi="楷体_GB2312" w:cs="楷体_GB2312" w:hint="eastAsia"/>
                <w:color w:val="000000"/>
                <w:kern w:val="0"/>
                <w:sz w:val="20"/>
                <w:szCs w:val="20"/>
                <w:lang/>
              </w:rPr>
              <w:t>项目资金到位率</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资金到位率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（实际到位资金</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计划投入资金）</w:t>
            </w:r>
            <w:r>
              <w:rPr>
                <w:rFonts w:ascii="楷体_GB2312" w:eastAsia="楷体_GB2312" w:hAnsi="楷体_GB2312" w:cs="楷体_GB2312" w:hint="eastAsia"/>
                <w:color w:val="000000"/>
                <w:kern w:val="0"/>
                <w:sz w:val="20"/>
                <w:szCs w:val="20"/>
                <w:lang/>
              </w:rPr>
              <w:t>*100%</w:t>
            </w:r>
            <w:r>
              <w:rPr>
                <w:rFonts w:ascii="楷体_GB2312" w:eastAsia="楷体_GB2312" w:hAnsi="楷体_GB2312" w:cs="楷体_GB2312" w:hint="eastAsia"/>
                <w:color w:val="000000"/>
                <w:kern w:val="0"/>
                <w:sz w:val="20"/>
                <w:szCs w:val="20"/>
                <w:lang/>
              </w:rPr>
              <w:t>，资金到位率达</w:t>
            </w:r>
            <w:r>
              <w:rPr>
                <w:rFonts w:ascii="楷体_GB2312" w:eastAsia="楷体_GB2312" w:hAnsi="楷体_GB2312" w:cs="楷体_GB2312" w:hint="eastAsia"/>
                <w:color w:val="000000"/>
                <w:kern w:val="0"/>
                <w:sz w:val="20"/>
                <w:szCs w:val="20"/>
                <w:lang/>
              </w:rPr>
              <w:t>100%</w:t>
            </w:r>
            <w:r>
              <w:rPr>
                <w:rFonts w:ascii="楷体_GB2312" w:eastAsia="楷体_GB2312" w:hAnsi="楷体_GB2312" w:cs="楷体_GB2312" w:hint="eastAsia"/>
                <w:color w:val="000000"/>
                <w:kern w:val="0"/>
                <w:sz w:val="20"/>
                <w:szCs w:val="20"/>
                <w:lang/>
              </w:rPr>
              <w:t>，得满分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资金到位率</w:t>
            </w:r>
            <w:r>
              <w:rPr>
                <w:rFonts w:ascii="楷体_GB2312" w:eastAsia="楷体_GB2312" w:hAnsi="楷体_GB2312" w:cs="楷体_GB2312" w:hint="eastAsia"/>
                <w:color w:val="000000"/>
                <w:sz w:val="20"/>
                <w:szCs w:val="20"/>
              </w:rPr>
              <w:t>100%</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F55CEE">
        <w:trPr>
          <w:trHeight w:val="550"/>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B202</w:t>
            </w:r>
            <w:r>
              <w:rPr>
                <w:rFonts w:ascii="楷体_GB2312" w:eastAsia="楷体_GB2312" w:hAnsi="楷体_GB2312" w:cs="楷体_GB2312" w:hint="eastAsia"/>
                <w:color w:val="000000"/>
                <w:kern w:val="0"/>
                <w:sz w:val="20"/>
                <w:szCs w:val="20"/>
                <w:lang/>
              </w:rPr>
              <w:t>项目资金使用率</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6%</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资金到位率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（实际使用资金</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计划使用资金）</w:t>
            </w:r>
            <w:r>
              <w:rPr>
                <w:rFonts w:ascii="楷体_GB2312" w:eastAsia="楷体_GB2312" w:hAnsi="楷体_GB2312" w:cs="楷体_GB2312" w:hint="eastAsia"/>
                <w:color w:val="000000"/>
                <w:kern w:val="0"/>
                <w:sz w:val="20"/>
                <w:szCs w:val="20"/>
                <w:lang/>
              </w:rPr>
              <w:t>*100%</w:t>
            </w:r>
            <w:r>
              <w:rPr>
                <w:rFonts w:ascii="楷体_GB2312" w:eastAsia="楷体_GB2312" w:hAnsi="楷体_GB2312" w:cs="楷体_GB2312" w:hint="eastAsia"/>
                <w:color w:val="000000"/>
                <w:kern w:val="0"/>
                <w:sz w:val="20"/>
                <w:szCs w:val="20"/>
                <w:lang/>
              </w:rPr>
              <w:t>，资金使用率达</w:t>
            </w:r>
            <w:r>
              <w:rPr>
                <w:rFonts w:ascii="楷体_GB2312" w:eastAsia="楷体_GB2312" w:hAnsi="楷体_GB2312" w:cs="楷体_GB2312" w:hint="eastAsia"/>
                <w:color w:val="000000"/>
                <w:kern w:val="0"/>
                <w:sz w:val="20"/>
                <w:szCs w:val="20"/>
                <w:lang/>
              </w:rPr>
              <w:t>100%</w:t>
            </w:r>
            <w:r>
              <w:rPr>
                <w:rFonts w:ascii="楷体_GB2312" w:eastAsia="楷体_GB2312" w:hAnsi="楷体_GB2312" w:cs="楷体_GB2312" w:hint="eastAsia"/>
                <w:color w:val="000000"/>
                <w:kern w:val="0"/>
                <w:sz w:val="20"/>
                <w:szCs w:val="20"/>
                <w:lang/>
              </w:rPr>
              <w:t>，得满分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资金使用率</w:t>
            </w:r>
            <w:r>
              <w:rPr>
                <w:rFonts w:ascii="楷体_GB2312" w:eastAsia="楷体_GB2312" w:hAnsi="楷体_GB2312" w:cs="楷体_GB2312" w:hint="eastAsia"/>
                <w:color w:val="000000"/>
                <w:sz w:val="20"/>
                <w:szCs w:val="20"/>
              </w:rPr>
              <w:t>26.38%</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F55CEE">
        <w:trPr>
          <w:trHeight w:val="550"/>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B203</w:t>
            </w:r>
            <w:r>
              <w:rPr>
                <w:rFonts w:ascii="楷体_GB2312" w:eastAsia="楷体_GB2312" w:hAnsi="楷体_GB2312" w:cs="楷体_GB2312" w:hint="eastAsia"/>
                <w:color w:val="000000"/>
                <w:kern w:val="0"/>
                <w:sz w:val="20"/>
                <w:szCs w:val="20"/>
                <w:lang/>
              </w:rPr>
              <w:t>资金使用合规性</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、是否符合国家财经法规和财务管理制度以及有关专项资金管理办法的规定（</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、资金的拨付是否有完整的审批程序和手续（</w:t>
            </w:r>
            <w:r>
              <w:rPr>
                <w:rFonts w:ascii="楷体_GB2312" w:eastAsia="楷体_GB2312" w:hAnsi="楷体_GB2312" w:cs="楷体_GB2312" w:hint="eastAsia"/>
                <w:color w:val="000000"/>
                <w:kern w:val="0"/>
                <w:sz w:val="20"/>
                <w:szCs w:val="20"/>
                <w:lang/>
              </w:rPr>
              <w:t>0.5</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、是否符合项目预算批复或合同规定的用途（</w:t>
            </w:r>
            <w:r>
              <w:rPr>
                <w:rFonts w:ascii="楷体_GB2312" w:eastAsia="楷体_GB2312" w:hAnsi="楷体_GB2312" w:cs="楷体_GB2312" w:hint="eastAsia"/>
                <w:color w:val="000000"/>
                <w:kern w:val="0"/>
                <w:sz w:val="20"/>
                <w:szCs w:val="20"/>
                <w:lang/>
              </w:rPr>
              <w:t>0.5</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4</w:t>
            </w:r>
            <w:r>
              <w:rPr>
                <w:rFonts w:ascii="楷体_GB2312" w:eastAsia="楷体_GB2312" w:hAnsi="楷体_GB2312" w:cs="楷体_GB2312" w:hint="eastAsia"/>
                <w:color w:val="000000"/>
                <w:kern w:val="0"/>
                <w:sz w:val="20"/>
                <w:szCs w:val="20"/>
                <w:lang/>
              </w:rPr>
              <w:t>、是否存在截留、挤占、挪用、虚列支出等情况（</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收支清楚，科目使用正确，会计凭证附件齐全，资金拨付流程合规</w:t>
            </w:r>
          </w:p>
        </w:tc>
        <w:tc>
          <w:tcPr>
            <w:tcW w:w="476"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F55CEE">
        <w:trPr>
          <w:trHeight w:val="1141"/>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C101</w:t>
            </w:r>
            <w:r>
              <w:rPr>
                <w:rFonts w:ascii="楷体_GB2312" w:eastAsia="楷体_GB2312" w:hAnsi="楷体_GB2312" w:cs="楷体_GB2312" w:hint="eastAsia"/>
                <w:color w:val="000000"/>
                <w:kern w:val="0"/>
                <w:sz w:val="20"/>
                <w:szCs w:val="20"/>
                <w:lang/>
              </w:rPr>
              <w:t>项目工程完工率</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5%</w:t>
            </w:r>
          </w:p>
        </w:tc>
        <w:tc>
          <w:tcPr>
            <w:tcW w:w="1871" w:type="pct"/>
            <w:noWrap/>
          </w:tcPr>
          <w:p w:rsidR="00F55CEE" w:rsidRDefault="001145CC">
            <w:pPr>
              <w:widowControl/>
              <w:spacing w:line="300" w:lineRule="exac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工程完工率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实际完成工程量</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计划完成工程量×</w:t>
            </w:r>
            <w:r>
              <w:rPr>
                <w:rFonts w:ascii="楷体_GB2312" w:eastAsia="楷体_GB2312" w:hAnsi="楷体_GB2312" w:cs="楷体_GB2312" w:hint="eastAsia"/>
                <w:color w:val="000000"/>
                <w:kern w:val="0"/>
                <w:sz w:val="20"/>
                <w:szCs w:val="20"/>
                <w:lang/>
              </w:rPr>
              <w:t>100%</w:t>
            </w:r>
            <w:r>
              <w:rPr>
                <w:rFonts w:ascii="楷体_GB2312" w:eastAsia="楷体_GB2312" w:hAnsi="楷体_GB2312" w:cs="楷体_GB2312" w:hint="eastAsia"/>
                <w:color w:val="000000"/>
                <w:kern w:val="0"/>
                <w:sz w:val="20"/>
                <w:szCs w:val="20"/>
                <w:lang/>
              </w:rPr>
              <w:t>。得分</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分值</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合格率</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工程完工率</w:t>
            </w:r>
            <w:r>
              <w:rPr>
                <w:rFonts w:ascii="楷体_GB2312" w:eastAsia="楷体_GB2312" w:hAnsi="楷体_GB2312" w:cs="楷体_GB2312" w:hint="eastAsia"/>
                <w:color w:val="000000"/>
                <w:sz w:val="20"/>
                <w:szCs w:val="20"/>
              </w:rPr>
              <w:t>100%</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r>
      <w:tr w:rsidR="00F55CEE">
        <w:trPr>
          <w:trHeight w:val="998"/>
        </w:trPr>
        <w:tc>
          <w:tcPr>
            <w:tcW w:w="607"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C201</w:t>
            </w:r>
            <w:r>
              <w:rPr>
                <w:rFonts w:ascii="楷体_GB2312" w:eastAsia="楷体_GB2312" w:hAnsi="楷体_GB2312" w:cs="楷体_GB2312" w:hint="eastAsia"/>
                <w:color w:val="000000"/>
                <w:kern w:val="0"/>
                <w:sz w:val="20"/>
                <w:szCs w:val="20"/>
                <w:lang/>
              </w:rPr>
              <w:t>项目验收合格率</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8%</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验收合格率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实际验收项目数量</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计划验收项目数量×</w:t>
            </w:r>
            <w:r>
              <w:rPr>
                <w:rFonts w:ascii="楷体_GB2312" w:eastAsia="楷体_GB2312" w:hAnsi="楷体_GB2312" w:cs="楷体_GB2312" w:hint="eastAsia"/>
                <w:color w:val="000000"/>
                <w:kern w:val="0"/>
                <w:sz w:val="20"/>
                <w:szCs w:val="20"/>
                <w:lang/>
              </w:rPr>
              <w:t>100%</w:t>
            </w:r>
            <w:r>
              <w:rPr>
                <w:rFonts w:ascii="楷体_GB2312" w:eastAsia="楷体_GB2312" w:hAnsi="楷体_GB2312" w:cs="楷体_GB2312" w:hint="eastAsia"/>
                <w:color w:val="000000"/>
                <w:kern w:val="0"/>
                <w:sz w:val="20"/>
                <w:szCs w:val="20"/>
                <w:lang/>
              </w:rPr>
              <w:t>。得分</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分值</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合格率</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验收合格率</w:t>
            </w:r>
            <w:r>
              <w:rPr>
                <w:rFonts w:ascii="楷体_GB2312" w:eastAsia="楷体_GB2312" w:hAnsi="楷体_GB2312" w:cs="楷体_GB2312" w:hint="eastAsia"/>
                <w:color w:val="000000"/>
                <w:sz w:val="20"/>
                <w:szCs w:val="20"/>
              </w:rPr>
              <w:t>25%</w:t>
            </w:r>
          </w:p>
        </w:tc>
        <w:tc>
          <w:tcPr>
            <w:tcW w:w="476" w:type="pct"/>
            <w:noWrap/>
            <w:vAlign w:val="center"/>
          </w:tcPr>
          <w:p w:rsidR="00F55CEE" w:rsidRDefault="001145CC">
            <w:pPr>
              <w:widowControl/>
              <w:spacing w:line="300" w:lineRule="exac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2.00</w:t>
            </w:r>
          </w:p>
        </w:tc>
      </w:tr>
      <w:tr w:rsidR="00F55CEE">
        <w:trPr>
          <w:trHeight w:val="1153"/>
        </w:trPr>
        <w:tc>
          <w:tcPr>
            <w:tcW w:w="607"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C301</w:t>
            </w:r>
            <w:r>
              <w:rPr>
                <w:rFonts w:ascii="楷体_GB2312" w:eastAsia="楷体_GB2312" w:hAnsi="楷体_GB2312" w:cs="楷体_GB2312" w:hint="eastAsia"/>
                <w:color w:val="000000"/>
                <w:kern w:val="0"/>
                <w:sz w:val="20"/>
                <w:szCs w:val="20"/>
                <w:lang/>
              </w:rPr>
              <w:t>道路开工件准时率</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5%</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开工准时率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实际开工时间</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合同计划开工时间</w:t>
            </w:r>
            <w:r>
              <w:rPr>
                <w:rFonts w:ascii="楷体_GB2312" w:eastAsia="楷体_GB2312" w:hAnsi="楷体_GB2312" w:cs="楷体_GB2312" w:hint="eastAsia"/>
                <w:color w:val="000000"/>
                <w:kern w:val="0"/>
                <w:sz w:val="20"/>
                <w:szCs w:val="20"/>
                <w:lang/>
              </w:rPr>
              <w:t xml:space="preserve">*100% </w:t>
            </w:r>
            <w:r>
              <w:rPr>
                <w:rFonts w:ascii="楷体_GB2312" w:eastAsia="楷体_GB2312" w:hAnsi="楷体_GB2312" w:cs="楷体_GB2312" w:hint="eastAsia"/>
                <w:color w:val="000000"/>
                <w:kern w:val="0"/>
                <w:sz w:val="20"/>
                <w:szCs w:val="20"/>
                <w:lang/>
              </w:rPr>
              <w:t>得分</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分值</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合格率</w:t>
            </w:r>
          </w:p>
        </w:tc>
        <w:tc>
          <w:tcPr>
            <w:tcW w:w="1640" w:type="pct"/>
            <w:noWrap/>
            <w:vAlign w:val="center"/>
          </w:tcPr>
          <w:p w:rsidR="00F55CEE" w:rsidRDefault="001145CC">
            <w:pPr>
              <w:widowControl/>
              <w:spacing w:line="300" w:lineRule="exact"/>
              <w:jc w:val="lef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开工准时率</w:t>
            </w:r>
            <w:r>
              <w:rPr>
                <w:rFonts w:ascii="楷体_GB2312" w:eastAsia="楷体_GB2312" w:hAnsi="楷体_GB2312" w:cs="楷体_GB2312" w:hint="eastAsia"/>
                <w:color w:val="000000"/>
                <w:sz w:val="22"/>
                <w:szCs w:val="22"/>
              </w:rPr>
              <w:t>100%</w:t>
            </w:r>
          </w:p>
        </w:tc>
        <w:tc>
          <w:tcPr>
            <w:tcW w:w="476" w:type="pct"/>
            <w:noWrap/>
            <w:vAlign w:val="center"/>
          </w:tcPr>
          <w:p w:rsidR="00F55CEE" w:rsidRDefault="001145CC">
            <w:pPr>
              <w:widowControl/>
              <w:spacing w:line="300" w:lineRule="exac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5.00</w:t>
            </w:r>
          </w:p>
        </w:tc>
      </w:tr>
      <w:tr w:rsidR="00F55CEE">
        <w:trPr>
          <w:trHeight w:val="912"/>
        </w:trPr>
        <w:tc>
          <w:tcPr>
            <w:tcW w:w="607"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C302</w:t>
            </w:r>
            <w:r>
              <w:rPr>
                <w:rFonts w:ascii="楷体_GB2312" w:eastAsia="楷体_GB2312" w:hAnsi="楷体_GB2312" w:cs="楷体_GB2312" w:hint="eastAsia"/>
                <w:color w:val="000000"/>
                <w:kern w:val="0"/>
                <w:sz w:val="20"/>
                <w:szCs w:val="20"/>
                <w:lang/>
              </w:rPr>
              <w:t>道路建设完成及时率</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4%</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完工及时率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实际完工时间</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合同约定计划完工时间</w:t>
            </w:r>
            <w:r>
              <w:rPr>
                <w:rFonts w:ascii="楷体_GB2312" w:eastAsia="楷体_GB2312" w:hAnsi="楷体_GB2312" w:cs="楷体_GB2312" w:hint="eastAsia"/>
                <w:color w:val="000000"/>
                <w:kern w:val="0"/>
                <w:sz w:val="20"/>
                <w:szCs w:val="20"/>
                <w:lang/>
              </w:rPr>
              <w:t xml:space="preserve">*100% </w:t>
            </w:r>
            <w:r>
              <w:rPr>
                <w:rFonts w:ascii="楷体_GB2312" w:eastAsia="楷体_GB2312" w:hAnsi="楷体_GB2312" w:cs="楷体_GB2312" w:hint="eastAsia"/>
                <w:color w:val="000000"/>
                <w:kern w:val="0"/>
                <w:sz w:val="20"/>
                <w:szCs w:val="20"/>
                <w:lang/>
              </w:rPr>
              <w:t>得分</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分值</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合格率</w:t>
            </w:r>
          </w:p>
        </w:tc>
        <w:tc>
          <w:tcPr>
            <w:tcW w:w="1640" w:type="pct"/>
            <w:noWrap/>
            <w:vAlign w:val="center"/>
          </w:tcPr>
          <w:p w:rsidR="00F55CEE" w:rsidRDefault="001145CC">
            <w:pPr>
              <w:widowControl/>
              <w:spacing w:line="300" w:lineRule="exact"/>
              <w:jc w:val="lef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完工及时率</w:t>
            </w:r>
            <w:r>
              <w:rPr>
                <w:rFonts w:ascii="楷体_GB2312" w:eastAsia="楷体_GB2312" w:hAnsi="楷体_GB2312" w:cs="楷体_GB2312" w:hint="eastAsia"/>
                <w:color w:val="000000"/>
                <w:sz w:val="22"/>
                <w:szCs w:val="22"/>
              </w:rPr>
              <w:t>100%</w:t>
            </w:r>
          </w:p>
        </w:tc>
        <w:tc>
          <w:tcPr>
            <w:tcW w:w="476" w:type="pct"/>
            <w:noWrap/>
            <w:vAlign w:val="center"/>
          </w:tcPr>
          <w:p w:rsidR="00F55CEE" w:rsidRDefault="001145CC">
            <w:pPr>
              <w:widowControl/>
              <w:spacing w:line="300" w:lineRule="exac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4.00</w:t>
            </w:r>
          </w:p>
        </w:tc>
      </w:tr>
      <w:tr w:rsidR="00F55CEE">
        <w:trPr>
          <w:trHeight w:val="781"/>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lastRenderedPageBreak/>
              <w:t>C401</w:t>
            </w:r>
            <w:r>
              <w:rPr>
                <w:rFonts w:ascii="楷体_GB2312" w:eastAsia="楷体_GB2312" w:hAnsi="楷体_GB2312" w:cs="楷体_GB2312" w:hint="eastAsia"/>
                <w:color w:val="000000"/>
                <w:kern w:val="0"/>
                <w:sz w:val="20"/>
                <w:szCs w:val="20"/>
                <w:lang/>
              </w:rPr>
              <w:t>成本节约率</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1871" w:type="pct"/>
            <w:noWrap/>
          </w:tcPr>
          <w:p w:rsidR="00F55CEE" w:rsidRDefault="001145CC">
            <w:pPr>
              <w:widowControl/>
              <w:spacing w:line="300" w:lineRule="exact"/>
              <w:jc w:val="left"/>
              <w:textAlignment w:val="top"/>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成本节约率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实际建设成本</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计划建设成本</w:t>
            </w:r>
            <w:r>
              <w:rPr>
                <w:rFonts w:ascii="楷体_GB2312" w:eastAsia="楷体_GB2312" w:hAnsi="楷体_GB2312" w:cs="楷体_GB2312" w:hint="eastAsia"/>
                <w:color w:val="000000"/>
                <w:kern w:val="0"/>
                <w:sz w:val="20"/>
                <w:szCs w:val="20"/>
                <w:lang/>
              </w:rPr>
              <w:t xml:space="preserve">*100% </w:t>
            </w:r>
            <w:r>
              <w:rPr>
                <w:rFonts w:ascii="楷体_GB2312" w:eastAsia="楷体_GB2312" w:hAnsi="楷体_GB2312" w:cs="楷体_GB2312" w:hint="eastAsia"/>
                <w:color w:val="000000"/>
                <w:kern w:val="0"/>
                <w:sz w:val="20"/>
                <w:szCs w:val="20"/>
                <w:lang/>
              </w:rPr>
              <w:t>得分</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分值</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合格率</w:t>
            </w:r>
          </w:p>
        </w:tc>
        <w:tc>
          <w:tcPr>
            <w:tcW w:w="1640" w:type="pct"/>
            <w:noWrap/>
            <w:vAlign w:val="center"/>
          </w:tcPr>
          <w:p w:rsidR="00F55CEE" w:rsidRDefault="001145CC">
            <w:pPr>
              <w:widowControl/>
              <w:spacing w:line="300" w:lineRule="exact"/>
              <w:jc w:val="lef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无法考核</w:t>
            </w:r>
          </w:p>
        </w:tc>
        <w:tc>
          <w:tcPr>
            <w:tcW w:w="476" w:type="pct"/>
            <w:noWrap/>
            <w:vAlign w:val="center"/>
          </w:tcPr>
          <w:p w:rsidR="00F55CEE" w:rsidRDefault="001145CC">
            <w:pPr>
              <w:widowControl/>
              <w:spacing w:line="300" w:lineRule="exact"/>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0.00</w:t>
            </w:r>
          </w:p>
        </w:tc>
      </w:tr>
      <w:tr w:rsidR="00F55CEE">
        <w:trPr>
          <w:trHeight w:val="1171"/>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D101</w:t>
            </w:r>
            <w:r>
              <w:rPr>
                <w:rFonts w:ascii="楷体_GB2312" w:eastAsia="楷体_GB2312" w:hAnsi="楷体_GB2312" w:cs="楷体_GB2312" w:hint="eastAsia"/>
                <w:color w:val="000000"/>
                <w:kern w:val="0"/>
                <w:sz w:val="20"/>
                <w:szCs w:val="20"/>
                <w:lang/>
              </w:rPr>
              <w:t>促进区域经济发展</w:t>
            </w:r>
          </w:p>
        </w:tc>
        <w:tc>
          <w:tcPr>
            <w:tcW w:w="404" w:type="pct"/>
            <w:noWrap/>
            <w:vAlign w:val="center"/>
          </w:tcPr>
          <w:p w:rsidR="00F55CEE" w:rsidRDefault="001145CC">
            <w:pPr>
              <w:widowControl/>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6%</w:t>
            </w:r>
          </w:p>
        </w:tc>
        <w:tc>
          <w:tcPr>
            <w:tcW w:w="1871" w:type="pct"/>
            <w:noWrap/>
          </w:tcPr>
          <w:p w:rsidR="00F55CEE" w:rsidRDefault="001145CC">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道路建设是否起到带动当地旅游发展的作用：（</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是否促进黎城县经济发展。（</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改善了黎城县区域投资环境，推进了产业结构的调整，促进了区域经济的合理布局</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6.00</w:t>
            </w:r>
          </w:p>
        </w:tc>
      </w:tr>
      <w:tr w:rsidR="00F55CEE">
        <w:trPr>
          <w:trHeight w:val="900"/>
        </w:trPr>
        <w:tc>
          <w:tcPr>
            <w:tcW w:w="607"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D201</w:t>
            </w:r>
            <w:r>
              <w:rPr>
                <w:rFonts w:ascii="楷体_GB2312" w:eastAsia="楷体_GB2312" w:hAnsi="楷体_GB2312" w:cs="楷体_GB2312" w:hint="eastAsia"/>
                <w:color w:val="000000"/>
                <w:sz w:val="20"/>
                <w:szCs w:val="20"/>
              </w:rPr>
              <w:t>完善县城旅游道路网络</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是否加强了黎城县旅游基础设施建设（</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p w:rsidR="00F55CEE" w:rsidRDefault="001145CC">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是否改善了现有的旅游路状况。（</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太行板块旅游公路的实施可以逐步实现黎城县总体规划，完善黎城县道路骨架</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F55CEE">
        <w:trPr>
          <w:trHeight w:val="900"/>
        </w:trPr>
        <w:tc>
          <w:tcPr>
            <w:tcW w:w="607"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D202</w:t>
            </w:r>
            <w:r>
              <w:rPr>
                <w:rFonts w:ascii="楷体_GB2312" w:eastAsia="楷体_GB2312" w:hAnsi="楷体_GB2312" w:cs="楷体_GB2312" w:hint="eastAsia"/>
                <w:color w:val="000000"/>
                <w:sz w:val="20"/>
                <w:szCs w:val="20"/>
              </w:rPr>
              <w:t>提升黎城旅游县城形象</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w:t>
            </w:r>
          </w:p>
        </w:tc>
        <w:tc>
          <w:tcPr>
            <w:tcW w:w="1871"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是否依照规划施工（</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p w:rsidR="00F55CEE" w:rsidRDefault="001145CC">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是否对黎城旅游县城形象有提升。（</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改造了旅游区道路网络，完善了道路基础设施，成为提高黎城县人民生活品质，改善居民生活质量和县容县貌</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F55CEE">
        <w:trPr>
          <w:trHeight w:val="949"/>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D301</w:t>
            </w:r>
            <w:r>
              <w:rPr>
                <w:rFonts w:ascii="楷体_GB2312" w:eastAsia="楷体_GB2312" w:hAnsi="楷体_GB2312" w:cs="楷体_GB2312" w:hint="eastAsia"/>
                <w:color w:val="000000"/>
                <w:kern w:val="0"/>
                <w:sz w:val="20"/>
                <w:szCs w:val="20"/>
                <w:lang/>
              </w:rPr>
              <w:t>促进黎城县旅游资源整合</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4%</w:t>
            </w:r>
          </w:p>
        </w:tc>
        <w:tc>
          <w:tcPr>
            <w:tcW w:w="1871" w:type="pct"/>
            <w:noWrap/>
          </w:tcPr>
          <w:p w:rsidR="00F55CEE" w:rsidRDefault="001145CC">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是否依照规划施工（</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p w:rsidR="00F55CEE" w:rsidRDefault="001145CC">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是否促进黎城旅游县旅游资源整合。（</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项目按照规划施工，有效促进了黎城县旅游资源的整合</w:t>
            </w:r>
          </w:p>
        </w:tc>
        <w:tc>
          <w:tcPr>
            <w:tcW w:w="476" w:type="pct"/>
            <w:noWrap/>
            <w:vAlign w:val="center"/>
          </w:tcPr>
          <w:p w:rsidR="00F55CEE" w:rsidRDefault="001145CC">
            <w:pPr>
              <w:widowControl/>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F55CEE">
        <w:trPr>
          <w:trHeight w:val="949"/>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D302</w:t>
            </w:r>
            <w:r>
              <w:rPr>
                <w:rFonts w:ascii="楷体_GB2312" w:eastAsia="楷体_GB2312" w:hAnsi="楷体_GB2312" w:cs="楷体_GB2312" w:hint="eastAsia"/>
                <w:color w:val="000000"/>
                <w:kern w:val="0"/>
                <w:sz w:val="20"/>
                <w:szCs w:val="20"/>
                <w:lang/>
              </w:rPr>
              <w:t>为森林防火救火赢得时间</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w:t>
            </w:r>
          </w:p>
        </w:tc>
        <w:tc>
          <w:tcPr>
            <w:tcW w:w="1871" w:type="pct"/>
            <w:noWrap/>
          </w:tcPr>
          <w:p w:rsidR="00F55CEE" w:rsidRDefault="001145CC">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F55CEE" w:rsidRDefault="001145CC">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是否在施工中加强环保措施（</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p w:rsidR="00F55CEE" w:rsidRDefault="001145CC">
            <w:pPr>
              <w:widowControl/>
              <w:spacing w:line="300" w:lineRule="exact"/>
              <w:jc w:val="lef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是否为森林防火救火赢得时间（</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640" w:type="pct"/>
            <w:noWrap/>
            <w:vAlign w:val="center"/>
          </w:tcPr>
          <w:p w:rsidR="00F55CEE" w:rsidRDefault="001145CC">
            <w:pPr>
              <w:widowControl/>
              <w:spacing w:line="300" w:lineRule="exact"/>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路的建筑宽度能作为一条辅助隔离带，为扑灭火险赢得时间，同时还是最快捷的消防通道，降低森林火灾的损失将消防扑救人员、物资以最短的时间运至现场，保护人民生命财产安全，降低森林火灾的损失</w:t>
            </w:r>
          </w:p>
        </w:tc>
        <w:tc>
          <w:tcPr>
            <w:tcW w:w="476" w:type="pct"/>
            <w:noWrap/>
            <w:vAlign w:val="center"/>
          </w:tcPr>
          <w:p w:rsidR="00F55CEE" w:rsidRDefault="001145CC">
            <w:pPr>
              <w:widowControl/>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F55CEE">
        <w:trPr>
          <w:trHeight w:val="1132"/>
        </w:trPr>
        <w:tc>
          <w:tcPr>
            <w:tcW w:w="607" w:type="pct"/>
            <w:noWrap/>
            <w:vAlign w:val="center"/>
          </w:tcPr>
          <w:p w:rsidR="00F55CEE" w:rsidRDefault="001145CC">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kern w:val="0"/>
                <w:sz w:val="20"/>
                <w:szCs w:val="20"/>
                <w:lang/>
              </w:rPr>
              <w:t>D401</w:t>
            </w:r>
            <w:r>
              <w:rPr>
                <w:rFonts w:ascii="楷体_GB2312" w:eastAsia="楷体_GB2312" w:hAnsi="楷体_GB2312" w:cs="楷体_GB2312" w:hint="eastAsia"/>
                <w:kern w:val="0"/>
                <w:sz w:val="20"/>
                <w:szCs w:val="20"/>
                <w:lang/>
              </w:rPr>
              <w:t>受惠群众满意度</w:t>
            </w:r>
          </w:p>
        </w:tc>
        <w:tc>
          <w:tcPr>
            <w:tcW w:w="404" w:type="pct"/>
            <w:noWrap/>
            <w:vAlign w:val="center"/>
          </w:tcPr>
          <w:p w:rsidR="00F55CEE" w:rsidRDefault="001145CC">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kern w:val="0"/>
                <w:sz w:val="20"/>
                <w:szCs w:val="20"/>
                <w:lang/>
              </w:rPr>
              <w:t>5%</w:t>
            </w:r>
          </w:p>
        </w:tc>
        <w:tc>
          <w:tcPr>
            <w:tcW w:w="1871" w:type="pct"/>
            <w:noWrap/>
          </w:tcPr>
          <w:p w:rsidR="00F55CEE" w:rsidRDefault="001145CC">
            <w:pPr>
              <w:widowControl/>
              <w:spacing w:line="300" w:lineRule="exact"/>
              <w:jc w:val="left"/>
              <w:textAlignment w:val="top"/>
              <w:rPr>
                <w:rFonts w:ascii="楷体_GB2312" w:eastAsia="楷体_GB2312" w:hAnsi="楷体_GB2312" w:cs="楷体_GB2312"/>
                <w:kern w:val="0"/>
                <w:sz w:val="20"/>
                <w:szCs w:val="20"/>
                <w:lang/>
              </w:rPr>
            </w:pPr>
            <w:r>
              <w:rPr>
                <w:rFonts w:ascii="楷体_GB2312" w:eastAsia="楷体_GB2312" w:hAnsi="楷体_GB2312" w:cs="楷体_GB2312" w:hint="eastAsia"/>
                <w:kern w:val="0"/>
                <w:sz w:val="20"/>
                <w:szCs w:val="20"/>
                <w:lang/>
              </w:rPr>
              <w:t>评价要点：</w:t>
            </w:r>
          </w:p>
          <w:p w:rsidR="00F55CEE" w:rsidRDefault="001145CC">
            <w:pPr>
              <w:widowControl/>
              <w:spacing w:line="300" w:lineRule="exact"/>
              <w:jc w:val="left"/>
              <w:textAlignment w:val="top"/>
              <w:rPr>
                <w:rFonts w:ascii="楷体_GB2312" w:eastAsia="楷体_GB2312" w:hAnsi="楷体_GB2312" w:cs="楷体_GB2312"/>
                <w:sz w:val="20"/>
                <w:szCs w:val="20"/>
              </w:rPr>
            </w:pPr>
            <w:r>
              <w:rPr>
                <w:rFonts w:ascii="楷体_GB2312" w:eastAsia="楷体_GB2312" w:hAnsi="楷体_GB2312" w:cs="楷体_GB2312" w:hint="eastAsia"/>
                <w:kern w:val="0"/>
                <w:sz w:val="20"/>
                <w:szCs w:val="20"/>
                <w:lang/>
              </w:rPr>
              <w:t>受益对象对项目实施的满意度达到</w:t>
            </w:r>
            <w:r>
              <w:rPr>
                <w:rFonts w:ascii="楷体_GB2312" w:eastAsia="楷体_GB2312" w:hAnsi="楷体_GB2312" w:cs="楷体_GB2312" w:hint="eastAsia"/>
                <w:kern w:val="0"/>
                <w:sz w:val="20"/>
                <w:szCs w:val="20"/>
                <w:lang/>
              </w:rPr>
              <w:t xml:space="preserve"> 90%</w:t>
            </w:r>
            <w:r>
              <w:rPr>
                <w:rFonts w:ascii="楷体_GB2312" w:eastAsia="楷体_GB2312" w:hAnsi="楷体_GB2312" w:cs="楷体_GB2312" w:hint="eastAsia"/>
                <w:kern w:val="0"/>
                <w:sz w:val="20"/>
                <w:szCs w:val="20"/>
                <w:lang/>
              </w:rPr>
              <w:t>为满分</w:t>
            </w:r>
            <w:r>
              <w:rPr>
                <w:rFonts w:ascii="楷体_GB2312" w:eastAsia="楷体_GB2312" w:hAnsi="楷体_GB2312" w:cs="楷体_GB2312" w:hint="eastAsia"/>
                <w:kern w:val="0"/>
                <w:sz w:val="20"/>
                <w:szCs w:val="20"/>
                <w:lang/>
              </w:rPr>
              <w:t>,</w:t>
            </w:r>
            <w:r>
              <w:rPr>
                <w:rFonts w:ascii="楷体_GB2312" w:eastAsia="楷体_GB2312" w:hAnsi="楷体_GB2312" w:cs="楷体_GB2312" w:hint="eastAsia"/>
                <w:kern w:val="0"/>
                <w:sz w:val="20"/>
                <w:szCs w:val="20"/>
                <w:lang/>
              </w:rPr>
              <w:t>每降低一个百分点扣</w:t>
            </w:r>
            <w:r>
              <w:rPr>
                <w:rFonts w:ascii="楷体_GB2312" w:eastAsia="楷体_GB2312" w:hAnsi="楷体_GB2312" w:cs="楷体_GB2312" w:hint="eastAsia"/>
                <w:kern w:val="0"/>
                <w:sz w:val="20"/>
                <w:szCs w:val="20"/>
                <w:lang/>
              </w:rPr>
              <w:t xml:space="preserve"> 0.2 </w:t>
            </w:r>
            <w:r>
              <w:rPr>
                <w:rFonts w:ascii="楷体_GB2312" w:eastAsia="楷体_GB2312" w:hAnsi="楷体_GB2312" w:cs="楷体_GB2312" w:hint="eastAsia"/>
                <w:kern w:val="0"/>
                <w:sz w:val="20"/>
                <w:szCs w:val="20"/>
                <w:lang/>
              </w:rPr>
              <w:t>分</w:t>
            </w:r>
            <w:r>
              <w:rPr>
                <w:rFonts w:ascii="楷体_GB2312" w:eastAsia="楷体_GB2312" w:hAnsi="楷体_GB2312" w:cs="楷体_GB2312" w:hint="eastAsia"/>
                <w:kern w:val="0"/>
                <w:sz w:val="20"/>
                <w:szCs w:val="20"/>
                <w:lang/>
              </w:rPr>
              <w:t>,</w:t>
            </w:r>
            <w:r>
              <w:rPr>
                <w:rFonts w:ascii="楷体_GB2312" w:eastAsia="楷体_GB2312" w:hAnsi="楷体_GB2312" w:cs="楷体_GB2312" w:hint="eastAsia"/>
                <w:kern w:val="0"/>
                <w:sz w:val="20"/>
                <w:szCs w:val="20"/>
                <w:lang/>
              </w:rPr>
              <w:t>扣完为止。</w:t>
            </w:r>
          </w:p>
        </w:tc>
        <w:tc>
          <w:tcPr>
            <w:tcW w:w="1640" w:type="pct"/>
            <w:noWrap/>
            <w:vAlign w:val="center"/>
          </w:tcPr>
          <w:p w:rsidR="00F55CEE" w:rsidRDefault="001145CC">
            <w:pPr>
              <w:widowControl/>
              <w:spacing w:line="300" w:lineRule="exact"/>
              <w:jc w:val="left"/>
              <w:textAlignment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满意度</w:t>
            </w:r>
            <w:r>
              <w:rPr>
                <w:rFonts w:ascii="楷体_GB2312" w:eastAsia="楷体_GB2312" w:hAnsi="楷体_GB2312" w:cs="楷体_GB2312" w:hint="eastAsia"/>
                <w:sz w:val="20"/>
                <w:szCs w:val="20"/>
              </w:rPr>
              <w:t>84%</w:t>
            </w:r>
          </w:p>
        </w:tc>
        <w:tc>
          <w:tcPr>
            <w:tcW w:w="476" w:type="pct"/>
            <w:noWrap/>
            <w:vAlign w:val="center"/>
          </w:tcPr>
          <w:p w:rsidR="00F55CEE" w:rsidRDefault="001145CC">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3.00</w:t>
            </w:r>
          </w:p>
        </w:tc>
      </w:tr>
      <w:tr w:rsidR="00F55CEE">
        <w:trPr>
          <w:trHeight w:val="310"/>
        </w:trPr>
        <w:tc>
          <w:tcPr>
            <w:tcW w:w="607" w:type="pct"/>
            <w:noWrap/>
            <w:vAlign w:val="center"/>
          </w:tcPr>
          <w:p w:rsidR="00F55CEE" w:rsidRDefault="00F55CEE">
            <w:pPr>
              <w:rPr>
                <w:rFonts w:ascii="楷体_GB2312" w:eastAsia="楷体_GB2312" w:hAnsi="楷体_GB2312" w:cs="楷体_GB2312"/>
                <w:color w:val="000000"/>
                <w:sz w:val="20"/>
                <w:szCs w:val="20"/>
              </w:rPr>
            </w:pPr>
          </w:p>
        </w:tc>
        <w:tc>
          <w:tcPr>
            <w:tcW w:w="404" w:type="pct"/>
            <w:noWrap/>
            <w:vAlign w:val="center"/>
          </w:tcPr>
          <w:p w:rsidR="00F55CEE" w:rsidRDefault="001145CC">
            <w:pPr>
              <w:widowControl/>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1871" w:type="pct"/>
            <w:noWrap/>
            <w:vAlign w:val="center"/>
          </w:tcPr>
          <w:p w:rsidR="00F55CEE" w:rsidRDefault="00F55CEE">
            <w:pPr>
              <w:jc w:val="center"/>
              <w:rPr>
                <w:rFonts w:ascii="楷体_GB2312" w:eastAsia="楷体_GB2312" w:hAnsi="楷体_GB2312" w:cs="楷体_GB2312"/>
                <w:color w:val="000000"/>
                <w:sz w:val="20"/>
                <w:szCs w:val="20"/>
              </w:rPr>
            </w:pPr>
          </w:p>
        </w:tc>
        <w:tc>
          <w:tcPr>
            <w:tcW w:w="1640" w:type="pct"/>
            <w:noWrap/>
            <w:vAlign w:val="center"/>
          </w:tcPr>
          <w:p w:rsidR="00F55CEE" w:rsidRDefault="00F55CEE">
            <w:pPr>
              <w:rPr>
                <w:rFonts w:ascii="楷体_GB2312" w:eastAsia="楷体_GB2312" w:hAnsi="楷体_GB2312" w:cs="楷体_GB2312"/>
                <w:color w:val="000000"/>
                <w:sz w:val="20"/>
                <w:szCs w:val="20"/>
              </w:rPr>
            </w:pPr>
          </w:p>
        </w:tc>
        <w:tc>
          <w:tcPr>
            <w:tcW w:w="476" w:type="pct"/>
            <w:noWrap/>
            <w:vAlign w:val="center"/>
          </w:tcPr>
          <w:p w:rsidR="00F55CEE" w:rsidRDefault="001145CC">
            <w:pPr>
              <w:rPr>
                <w:rFonts w:ascii="楷体_GB2312" w:eastAsia="楷体_GB2312" w:hAnsi="楷体_GB2312" w:cs="楷体_GB2312"/>
                <w:color w:val="000000"/>
                <w:sz w:val="22"/>
                <w:szCs w:val="22"/>
              </w:rPr>
            </w:pPr>
            <w:r>
              <w:rPr>
                <w:rFonts w:ascii="楷体_GB2312" w:eastAsia="楷体_GB2312" w:hAnsi="楷体_GB2312" w:cs="楷体_GB2312" w:hint="eastAsia"/>
                <w:color w:val="000000"/>
                <w:sz w:val="22"/>
                <w:szCs w:val="22"/>
              </w:rPr>
              <w:t>80.00</w:t>
            </w:r>
          </w:p>
        </w:tc>
      </w:tr>
    </w:tbl>
    <w:p w:rsidR="00F55CEE" w:rsidRDefault="001145CC">
      <w:pPr>
        <w:rPr>
          <w:rStyle w:val="1Char"/>
          <w:rFonts w:ascii="黑体" w:eastAsia="黑体" w:hAnsi="黑体" w:cs="黑体"/>
          <w:b w:val="0"/>
          <w:bCs/>
          <w:sz w:val="24"/>
          <w:szCs w:val="24"/>
        </w:rPr>
      </w:pPr>
      <w:r>
        <w:rPr>
          <w:rStyle w:val="1Char"/>
          <w:rFonts w:ascii="黑体" w:eastAsia="黑体" w:hAnsi="黑体" w:cs="黑体" w:hint="eastAsia"/>
          <w:b w:val="0"/>
          <w:bCs/>
          <w:sz w:val="24"/>
          <w:szCs w:val="24"/>
        </w:rPr>
        <w:br w:type="page"/>
      </w:r>
    </w:p>
    <w:p w:rsidR="00F55CEE" w:rsidRDefault="00F55CEE">
      <w:pPr>
        <w:pStyle w:val="a0"/>
        <w:outlineLvl w:val="0"/>
        <w:rPr>
          <w:rStyle w:val="1Char"/>
          <w:rFonts w:ascii="黑体" w:eastAsia="黑体" w:hAnsi="黑体" w:cs="黑体"/>
          <w:b w:val="0"/>
          <w:bCs/>
          <w:sz w:val="24"/>
          <w:szCs w:val="24"/>
        </w:rPr>
      </w:pPr>
    </w:p>
    <w:p w:rsidR="00F55CEE" w:rsidRDefault="001145CC">
      <w:pPr>
        <w:pStyle w:val="a0"/>
        <w:outlineLvl w:val="0"/>
        <w:rPr>
          <w:rStyle w:val="1Char"/>
          <w:rFonts w:ascii="黑体" w:eastAsia="黑体" w:hAnsi="黑体" w:cs="黑体"/>
          <w:b w:val="0"/>
          <w:bCs/>
          <w:sz w:val="24"/>
          <w:szCs w:val="24"/>
        </w:rPr>
      </w:pPr>
      <w:bookmarkStart w:id="244" w:name="_Toc3810"/>
      <w:r>
        <w:rPr>
          <w:rStyle w:val="1Char"/>
          <w:rFonts w:ascii="黑体" w:eastAsia="黑体" w:hAnsi="黑体" w:cs="黑体" w:hint="eastAsia"/>
          <w:b w:val="0"/>
          <w:bCs/>
          <w:sz w:val="24"/>
          <w:szCs w:val="24"/>
        </w:rPr>
        <w:t>附件</w:t>
      </w:r>
      <w:r>
        <w:rPr>
          <w:rStyle w:val="1Char"/>
          <w:rFonts w:ascii="黑体" w:eastAsia="黑体" w:hAnsi="黑体" w:cs="黑体" w:hint="eastAsia"/>
          <w:b w:val="0"/>
          <w:bCs/>
          <w:sz w:val="24"/>
          <w:szCs w:val="24"/>
        </w:rPr>
        <w:t>3</w:t>
      </w:r>
      <w:r>
        <w:rPr>
          <w:rStyle w:val="1Char"/>
          <w:rFonts w:ascii="黑体" w:eastAsia="黑体" w:hAnsi="黑体" w:cs="黑体" w:hint="eastAsia"/>
          <w:b w:val="0"/>
          <w:bCs/>
          <w:sz w:val="24"/>
          <w:szCs w:val="24"/>
        </w:rPr>
        <w:t>：</w:t>
      </w:r>
      <w:bookmarkEnd w:id="244"/>
    </w:p>
    <w:p w:rsidR="00F55CEE" w:rsidRDefault="001145CC">
      <w:pPr>
        <w:pStyle w:val="a0"/>
        <w:spacing w:after="0" w:line="360" w:lineRule="auto"/>
        <w:jc w:val="center"/>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问卷调查</w:t>
      </w:r>
    </w:p>
    <w:p w:rsidR="00F55CEE" w:rsidRDefault="001145CC">
      <w:pPr>
        <w:pStyle w:val="a0"/>
        <w:spacing w:after="0" w:line="360" w:lineRule="auto"/>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尊敬的先生</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女士：</w:t>
      </w:r>
    </w:p>
    <w:p w:rsidR="00F55CEE" w:rsidRDefault="001145CC">
      <w:pPr>
        <w:pStyle w:val="a0"/>
        <w:spacing w:after="0" w:line="360" w:lineRule="auto"/>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您好</w:t>
      </w:r>
      <w:r>
        <w:rPr>
          <w:rFonts w:ascii="仿宋_GB2312" w:eastAsia="仿宋_GB2312" w:hAnsi="仿宋_GB2312" w:cs="仿宋_GB2312" w:hint="eastAsia"/>
          <w:sz w:val="28"/>
          <w:szCs w:val="28"/>
        </w:rPr>
        <w:t>!</w:t>
      </w:r>
    </w:p>
    <w:p w:rsidR="00F55CEE" w:rsidRDefault="001145CC">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我们受</w:t>
      </w:r>
      <w:r>
        <w:rPr>
          <w:rFonts w:ascii="仿宋_GB2312" w:eastAsia="仿宋_GB2312" w:hAnsi="仿宋_GB2312" w:cs="仿宋_GB2312" w:hint="eastAsia"/>
          <w:sz w:val="28"/>
          <w:szCs w:val="28"/>
        </w:rPr>
        <w:t>黎城县财政局</w:t>
      </w:r>
      <w:r>
        <w:rPr>
          <w:rFonts w:ascii="仿宋_GB2312" w:eastAsia="仿宋_GB2312" w:hAnsi="仿宋_GB2312" w:cs="仿宋_GB2312" w:hint="eastAsia"/>
          <w:sz w:val="28"/>
          <w:szCs w:val="28"/>
        </w:rPr>
        <w:t>的委托，对</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年三大板块旅游公路建设资金项目</w:t>
      </w:r>
      <w:r>
        <w:rPr>
          <w:rFonts w:ascii="仿宋_GB2312" w:eastAsia="仿宋_GB2312" w:hAnsi="仿宋_GB2312" w:cs="仿宋_GB2312" w:hint="eastAsia"/>
          <w:sz w:val="28"/>
          <w:szCs w:val="28"/>
        </w:rPr>
        <w:t>进行绩效评价，在评价过程中需要对有关事项做问卷调查，请根据您个人的真实感受填写，本次问卷数据仅限于统计分析，感谢您的配合和支持！</w:t>
      </w:r>
    </w:p>
    <w:p w:rsidR="00F55CEE" w:rsidRDefault="001145CC">
      <w:pPr>
        <w:pStyle w:val="a0"/>
        <w:spacing w:after="0" w:line="360" w:lineRule="auto"/>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w:t>
      </w:r>
    </w:p>
    <w:p w:rsidR="00F55CEE" w:rsidRDefault="001145CC">
      <w:pP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20</w:t>
      </w:r>
      <w:r>
        <w:rPr>
          <w:rFonts w:ascii="仿宋_GB2312" w:eastAsia="仿宋_GB2312" w:hAnsi="仿宋_GB2312" w:cs="仿宋_GB2312" w:hint="eastAsia"/>
          <w:sz w:val="28"/>
          <w:szCs w:val="28"/>
        </w:rPr>
        <w:t>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p>
    <w:p w:rsidR="00F55CEE" w:rsidRDefault="00F55CEE">
      <w:pPr>
        <w:pStyle w:val="a0"/>
        <w:spacing w:after="0" w:line="360" w:lineRule="auto"/>
        <w:rPr>
          <w:rFonts w:ascii="仿宋_GB2312" w:eastAsia="仿宋_GB2312" w:hAnsi="仿宋_GB2312" w:cs="仿宋_GB2312"/>
          <w:sz w:val="28"/>
          <w:szCs w:val="28"/>
        </w:rPr>
      </w:pPr>
    </w:p>
    <w:p w:rsidR="00F55CEE" w:rsidRDefault="00F55CEE">
      <w:pPr>
        <w:pStyle w:val="a0"/>
        <w:spacing w:after="0" w:line="360" w:lineRule="auto"/>
        <w:rPr>
          <w:rFonts w:ascii="仿宋_GB2312" w:eastAsia="仿宋_GB2312" w:hAnsi="仿宋_GB2312" w:cs="仿宋_GB2312"/>
          <w:sz w:val="28"/>
          <w:szCs w:val="28"/>
        </w:rPr>
      </w:pPr>
    </w:p>
    <w:p w:rsidR="00F55CEE" w:rsidRDefault="001145CC">
      <w:pPr>
        <w:pStyle w:val="a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您对三大板块旅游公路了解么？（</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w:t>
      </w:r>
    </w:p>
    <w:p w:rsidR="00F55CEE" w:rsidRDefault="001145CC">
      <w:pPr>
        <w:pStyle w:val="a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A </w:t>
      </w:r>
      <w:r>
        <w:rPr>
          <w:rFonts w:ascii="仿宋_GB2312" w:eastAsia="仿宋_GB2312" w:hAnsi="仿宋_GB2312" w:cs="仿宋_GB2312" w:hint="eastAsia"/>
          <w:sz w:val="28"/>
          <w:szCs w:val="28"/>
        </w:rPr>
        <w:t>十分了解</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比较了解</w:t>
      </w:r>
      <w:r>
        <w:rPr>
          <w:rFonts w:ascii="仿宋_GB2312" w:eastAsia="仿宋_GB2312" w:hAnsi="仿宋_GB2312" w:cs="仿宋_GB2312" w:hint="eastAsia"/>
          <w:sz w:val="28"/>
          <w:szCs w:val="28"/>
        </w:rPr>
        <w:t xml:space="preserve">      C </w:t>
      </w:r>
      <w:r>
        <w:rPr>
          <w:rFonts w:ascii="仿宋_GB2312" w:eastAsia="仿宋_GB2312" w:hAnsi="仿宋_GB2312" w:cs="仿宋_GB2312" w:hint="eastAsia"/>
          <w:sz w:val="28"/>
          <w:szCs w:val="28"/>
        </w:rPr>
        <w:t>了解一些</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完全不了解</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您</w:t>
      </w:r>
      <w:r>
        <w:rPr>
          <w:rFonts w:ascii="仿宋_GB2312" w:eastAsia="仿宋_GB2312" w:hAnsi="仿宋_GB2312" w:cs="仿宋_GB2312" w:hint="eastAsia"/>
          <w:sz w:val="28"/>
          <w:szCs w:val="28"/>
        </w:rPr>
        <w:t>对</w:t>
      </w:r>
      <w:r>
        <w:rPr>
          <w:rFonts w:ascii="仿宋_GB2312" w:eastAsia="仿宋_GB2312" w:hAnsi="仿宋_GB2312" w:cs="仿宋_GB2312" w:hint="eastAsia"/>
          <w:sz w:val="28"/>
          <w:szCs w:val="28"/>
        </w:rPr>
        <w:t>三大板块旅游公路</w:t>
      </w:r>
      <w:r>
        <w:rPr>
          <w:rFonts w:ascii="仿宋_GB2312" w:eastAsia="仿宋_GB2312" w:hAnsi="仿宋_GB2312" w:cs="仿宋_GB2312" w:hint="eastAsia"/>
          <w:sz w:val="28"/>
          <w:szCs w:val="28"/>
        </w:rPr>
        <w:t>工程建设规划了解情况如何？</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非常了解</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有些了解</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听说过</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不了解</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您认为</w:t>
      </w:r>
      <w:r>
        <w:rPr>
          <w:rFonts w:ascii="仿宋_GB2312" w:eastAsia="仿宋_GB2312" w:hAnsi="仿宋_GB2312" w:cs="仿宋_GB2312" w:hint="eastAsia"/>
          <w:sz w:val="28"/>
          <w:szCs w:val="28"/>
        </w:rPr>
        <w:t>三大板块旅游公路</w:t>
      </w:r>
      <w:r>
        <w:rPr>
          <w:rFonts w:ascii="仿宋_GB2312" w:eastAsia="仿宋_GB2312" w:hAnsi="仿宋_GB2312" w:cs="仿宋_GB2312" w:hint="eastAsia"/>
          <w:sz w:val="28"/>
          <w:szCs w:val="28"/>
        </w:rPr>
        <w:t>工程建设有必要么？</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非常有必要</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有必要</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没有必要</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不清楚</w:t>
      </w:r>
      <w:r>
        <w:rPr>
          <w:rFonts w:ascii="仿宋_GB2312" w:eastAsia="仿宋_GB2312" w:hAnsi="仿宋_GB2312" w:cs="仿宋_GB2312" w:hint="eastAsia"/>
          <w:sz w:val="28"/>
          <w:szCs w:val="28"/>
        </w:rPr>
        <w:t xml:space="preserve">   </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您认为</w:t>
      </w:r>
      <w:r>
        <w:rPr>
          <w:rFonts w:ascii="仿宋_GB2312" w:eastAsia="仿宋_GB2312" w:hAnsi="仿宋_GB2312" w:cs="仿宋_GB2312" w:hint="eastAsia"/>
          <w:sz w:val="28"/>
          <w:szCs w:val="28"/>
        </w:rPr>
        <w:t>三大板块旅游公路</w:t>
      </w:r>
      <w:r>
        <w:rPr>
          <w:rFonts w:ascii="仿宋_GB2312" w:eastAsia="仿宋_GB2312" w:hAnsi="仿宋_GB2312" w:cs="仿宋_GB2312" w:hint="eastAsia"/>
          <w:sz w:val="28"/>
          <w:szCs w:val="28"/>
        </w:rPr>
        <w:t>工程应该着重改善哪些方面？</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道路质量</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道路宽度</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运营速度</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配套设施</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E.</w:t>
      </w:r>
      <w:r>
        <w:rPr>
          <w:rFonts w:ascii="仿宋_GB2312" w:eastAsia="仿宋_GB2312" w:hAnsi="仿宋_GB2312" w:cs="仿宋_GB2312" w:hint="eastAsia"/>
          <w:sz w:val="28"/>
          <w:szCs w:val="28"/>
        </w:rPr>
        <w:t>以上都有</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5.</w:t>
      </w:r>
      <w:r>
        <w:rPr>
          <w:rFonts w:ascii="仿宋_GB2312" w:eastAsia="仿宋_GB2312" w:hAnsi="仿宋_GB2312" w:cs="仿宋_GB2312" w:hint="eastAsia"/>
          <w:sz w:val="28"/>
          <w:szCs w:val="28"/>
        </w:rPr>
        <w:t>您认为现阶段旅游公路道路建设还有哪些需要改进的？</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施工拥堵</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污染环境</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施工进度</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kern w:val="0"/>
          <w:sz w:val="28"/>
          <w:szCs w:val="28"/>
        </w:rPr>
        <w:t>施工围挡</w:t>
      </w:r>
      <w:r>
        <w:rPr>
          <w:rFonts w:ascii="仿宋_GB2312" w:eastAsia="仿宋_GB2312" w:hAnsi="仿宋_GB2312" w:cs="仿宋_GB2312" w:hint="eastAsia"/>
          <w:kern w:val="0"/>
          <w:sz w:val="28"/>
          <w:szCs w:val="28"/>
        </w:rPr>
        <w:t xml:space="preserve">        E.</w:t>
      </w:r>
      <w:r>
        <w:rPr>
          <w:rFonts w:ascii="仿宋_GB2312" w:eastAsia="仿宋_GB2312" w:hAnsi="仿宋_GB2312" w:cs="仿宋_GB2312" w:hint="eastAsia"/>
          <w:sz w:val="28"/>
          <w:szCs w:val="28"/>
        </w:rPr>
        <w:t>其他</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您认为旅游公路道路工期多久合适？</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没有想法</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您认为</w:t>
      </w:r>
      <w:r>
        <w:rPr>
          <w:rFonts w:ascii="仿宋_GB2312" w:eastAsia="仿宋_GB2312" w:hAnsi="仿宋_GB2312" w:cs="仿宋_GB2312" w:hint="eastAsia"/>
          <w:sz w:val="28"/>
          <w:szCs w:val="28"/>
        </w:rPr>
        <w:t>三大板块旅游公路</w:t>
      </w:r>
      <w:r>
        <w:rPr>
          <w:rFonts w:ascii="仿宋_GB2312" w:eastAsia="仿宋_GB2312" w:hAnsi="仿宋_GB2312" w:cs="仿宋_GB2312" w:hint="eastAsia"/>
          <w:sz w:val="28"/>
          <w:szCs w:val="28"/>
        </w:rPr>
        <w:t>工程完工后会对生活有所改善么？</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有很大改善</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有所改善</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变化不大</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没有想法</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您认为</w:t>
      </w:r>
      <w:r>
        <w:rPr>
          <w:rFonts w:ascii="仿宋_GB2312" w:eastAsia="仿宋_GB2312" w:hAnsi="仿宋_GB2312" w:cs="仿宋_GB2312" w:hint="eastAsia"/>
          <w:sz w:val="28"/>
          <w:szCs w:val="28"/>
        </w:rPr>
        <w:t>三大板块旅游公路</w:t>
      </w:r>
      <w:r>
        <w:rPr>
          <w:rFonts w:ascii="仿宋_GB2312" w:eastAsia="仿宋_GB2312" w:hAnsi="仿宋_GB2312" w:cs="仿宋_GB2312" w:hint="eastAsia"/>
          <w:sz w:val="28"/>
          <w:szCs w:val="28"/>
        </w:rPr>
        <w:t>工程完工后应当改变哪些方面？</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交通便利</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环境优美</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设施丰富</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通勤快速</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E.</w:t>
      </w:r>
      <w:r>
        <w:rPr>
          <w:rFonts w:ascii="仿宋_GB2312" w:eastAsia="仿宋_GB2312" w:hAnsi="仿宋_GB2312" w:cs="仿宋_GB2312" w:hint="eastAsia"/>
          <w:sz w:val="28"/>
          <w:szCs w:val="28"/>
        </w:rPr>
        <w:t>以上都有</w:t>
      </w:r>
    </w:p>
    <w:p w:rsidR="00F55CEE" w:rsidRDefault="001145CC">
      <w:pPr>
        <w:pStyle w:val="a0"/>
        <w:spacing w:after="0"/>
        <w:rPr>
          <w:rFonts w:ascii="仿宋_GB2312" w:eastAsia="仿宋_GB2312" w:hAnsi="仿宋_GB2312" w:cs="仿宋_GB2312"/>
          <w:sz w:val="28"/>
          <w:szCs w:val="28"/>
        </w:rPr>
      </w:pP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您认为“三大板块旅游公路”建设完成后，是否会促进城乡的发展（）</w:t>
      </w:r>
    </w:p>
    <w:p w:rsidR="00F55CEE" w:rsidRDefault="001145CC">
      <w:pPr>
        <w:pStyle w:val="a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A </w:t>
      </w:r>
      <w:r>
        <w:rPr>
          <w:rFonts w:ascii="仿宋_GB2312" w:eastAsia="仿宋_GB2312" w:hAnsi="仿宋_GB2312" w:cs="仿宋_GB2312" w:hint="eastAsia"/>
          <w:sz w:val="28"/>
          <w:szCs w:val="28"/>
        </w:rPr>
        <w:t>是</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不清楚</w:t>
      </w:r>
      <w:r>
        <w:rPr>
          <w:rFonts w:ascii="仿宋_GB2312" w:eastAsia="仿宋_GB2312" w:hAnsi="仿宋_GB2312" w:cs="仿宋_GB2312" w:hint="eastAsia"/>
          <w:sz w:val="28"/>
          <w:szCs w:val="28"/>
        </w:rPr>
        <w:t xml:space="preserve">               C </w:t>
      </w:r>
      <w:r>
        <w:rPr>
          <w:rFonts w:ascii="仿宋_GB2312" w:eastAsia="仿宋_GB2312" w:hAnsi="仿宋_GB2312" w:cs="仿宋_GB2312" w:hint="eastAsia"/>
          <w:sz w:val="28"/>
          <w:szCs w:val="28"/>
        </w:rPr>
        <w:t>不会</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您对</w:t>
      </w:r>
      <w:r>
        <w:rPr>
          <w:rFonts w:ascii="仿宋_GB2312" w:eastAsia="仿宋_GB2312" w:hAnsi="仿宋_GB2312" w:cs="仿宋_GB2312" w:hint="eastAsia"/>
          <w:sz w:val="28"/>
          <w:szCs w:val="28"/>
        </w:rPr>
        <w:t>旅游公路及周边</w:t>
      </w:r>
      <w:r>
        <w:rPr>
          <w:rFonts w:ascii="仿宋_GB2312" w:eastAsia="仿宋_GB2312" w:hAnsi="仿宋_GB2312" w:cs="仿宋_GB2312" w:hint="eastAsia"/>
          <w:sz w:val="28"/>
          <w:szCs w:val="28"/>
        </w:rPr>
        <w:t>未来建设或发展有何想法、意见（选答）</w:t>
      </w:r>
    </w:p>
    <w:p w:rsidR="00F55CEE" w:rsidRDefault="00F55CEE">
      <w:pPr>
        <w:pStyle w:val="a0"/>
        <w:spacing w:after="0" w:line="360" w:lineRule="auto"/>
        <w:rPr>
          <w:rFonts w:ascii="仿宋_GB2312" w:eastAsia="仿宋_GB2312" w:hAnsi="仿宋_GB2312" w:cs="仿宋_GB2312"/>
          <w:sz w:val="28"/>
          <w:szCs w:val="28"/>
        </w:rPr>
      </w:pPr>
    </w:p>
    <w:p w:rsidR="00F55CEE" w:rsidRDefault="00F55CEE">
      <w:pPr>
        <w:pStyle w:val="a0"/>
        <w:outlineLvl w:val="0"/>
        <w:rPr>
          <w:rStyle w:val="1Char"/>
          <w:rFonts w:ascii="仿宋_GB2312" w:hAnsi="仿宋_GB2312" w:cs="仿宋_GB2312"/>
          <w:b w:val="0"/>
          <w:bCs/>
          <w:sz w:val="28"/>
          <w:szCs w:val="28"/>
        </w:rPr>
      </w:pPr>
    </w:p>
    <w:p w:rsidR="00F55CEE" w:rsidRDefault="00F55CEE">
      <w:pPr>
        <w:pStyle w:val="a0"/>
        <w:outlineLvl w:val="0"/>
        <w:rPr>
          <w:rStyle w:val="1Char"/>
          <w:rFonts w:ascii="仿宋_GB2312" w:hAnsi="仿宋_GB2312" w:cs="仿宋_GB2312"/>
          <w:b w:val="0"/>
          <w:bCs/>
          <w:sz w:val="28"/>
          <w:szCs w:val="28"/>
        </w:rPr>
      </w:pPr>
    </w:p>
    <w:p w:rsidR="00F55CEE" w:rsidRDefault="00F55CEE">
      <w:pPr>
        <w:pStyle w:val="a0"/>
        <w:outlineLvl w:val="0"/>
        <w:rPr>
          <w:rStyle w:val="1Char"/>
          <w:rFonts w:ascii="仿宋_GB2312" w:hAnsi="仿宋_GB2312" w:cs="仿宋_GB2312"/>
          <w:b w:val="0"/>
          <w:bCs/>
          <w:sz w:val="28"/>
          <w:szCs w:val="28"/>
        </w:rPr>
      </w:pPr>
    </w:p>
    <w:p w:rsidR="00F55CEE" w:rsidRDefault="00F55CEE">
      <w:pPr>
        <w:pStyle w:val="a0"/>
        <w:outlineLvl w:val="0"/>
        <w:rPr>
          <w:rStyle w:val="1Char"/>
          <w:rFonts w:ascii="仿宋_GB2312" w:hAnsi="仿宋_GB2312" w:cs="仿宋_GB2312"/>
          <w:b w:val="0"/>
          <w:bCs/>
          <w:sz w:val="28"/>
          <w:szCs w:val="28"/>
        </w:rPr>
      </w:pPr>
    </w:p>
    <w:p w:rsidR="00F55CEE" w:rsidRDefault="00F55CEE">
      <w:pPr>
        <w:pStyle w:val="a0"/>
        <w:outlineLvl w:val="0"/>
        <w:rPr>
          <w:rStyle w:val="1Char"/>
          <w:rFonts w:ascii="仿宋_GB2312" w:hAnsi="仿宋_GB2312" w:cs="仿宋_GB2312"/>
          <w:b w:val="0"/>
          <w:bCs/>
          <w:sz w:val="28"/>
          <w:szCs w:val="28"/>
        </w:rPr>
      </w:pPr>
    </w:p>
    <w:p w:rsidR="00F55CEE" w:rsidRDefault="00F55CEE">
      <w:pPr>
        <w:pStyle w:val="a0"/>
        <w:outlineLvl w:val="0"/>
        <w:rPr>
          <w:rStyle w:val="1Char"/>
          <w:rFonts w:ascii="仿宋_GB2312" w:hAnsi="仿宋_GB2312" w:cs="仿宋_GB2312"/>
          <w:b w:val="0"/>
          <w:bCs/>
          <w:sz w:val="28"/>
          <w:szCs w:val="28"/>
        </w:rPr>
      </w:pPr>
    </w:p>
    <w:p w:rsidR="00F55CEE" w:rsidRDefault="001145CC">
      <w:pPr>
        <w:rPr>
          <w:rFonts w:ascii="黑体" w:eastAsia="黑体" w:hAnsi="黑体" w:cs="黑体"/>
          <w:b/>
          <w:bCs/>
          <w:sz w:val="28"/>
          <w:szCs w:val="28"/>
        </w:rPr>
      </w:pPr>
      <w:r>
        <w:rPr>
          <w:rFonts w:ascii="黑体" w:eastAsia="黑体" w:hAnsi="黑体" w:cs="黑体" w:hint="eastAsia"/>
          <w:b/>
          <w:bCs/>
          <w:sz w:val="28"/>
          <w:szCs w:val="28"/>
        </w:rPr>
        <w:lastRenderedPageBreak/>
        <w:br w:type="page"/>
      </w:r>
    </w:p>
    <w:p w:rsidR="00F55CEE" w:rsidRDefault="001145CC">
      <w:pPr>
        <w:pStyle w:val="a0"/>
        <w:spacing w:after="0" w:line="360" w:lineRule="auto"/>
        <w:jc w:val="center"/>
        <w:rPr>
          <w:rFonts w:ascii="黑体" w:eastAsia="黑体" w:hAnsi="黑体" w:cs="黑体"/>
          <w:b/>
          <w:bCs/>
          <w:sz w:val="28"/>
          <w:szCs w:val="28"/>
        </w:rPr>
      </w:pPr>
      <w:r>
        <w:rPr>
          <w:rFonts w:ascii="黑体" w:eastAsia="黑体" w:hAnsi="黑体" w:cs="黑体" w:hint="eastAsia"/>
          <w:b/>
          <w:bCs/>
          <w:sz w:val="28"/>
          <w:szCs w:val="28"/>
        </w:rPr>
        <w:lastRenderedPageBreak/>
        <w:t>2020</w:t>
      </w:r>
      <w:r>
        <w:rPr>
          <w:rFonts w:ascii="黑体" w:eastAsia="黑体" w:hAnsi="黑体" w:cs="黑体" w:hint="eastAsia"/>
          <w:b/>
          <w:bCs/>
          <w:sz w:val="28"/>
          <w:szCs w:val="28"/>
        </w:rPr>
        <w:t>年三大板块旅游公路建设资金项目</w:t>
      </w:r>
    </w:p>
    <w:p w:rsidR="00F55CEE" w:rsidRDefault="001145CC">
      <w:pPr>
        <w:pStyle w:val="a0"/>
        <w:spacing w:after="0" w:line="360" w:lineRule="auto"/>
        <w:jc w:val="center"/>
        <w:rPr>
          <w:rFonts w:ascii="黑体" w:eastAsia="黑体" w:hAnsi="黑体" w:cs="黑体"/>
          <w:b/>
          <w:bCs/>
          <w:sz w:val="28"/>
          <w:szCs w:val="28"/>
        </w:rPr>
      </w:pPr>
      <w:r>
        <w:rPr>
          <w:rFonts w:ascii="黑体" w:eastAsia="黑体" w:hAnsi="黑体" w:cs="黑体" w:hint="eastAsia"/>
          <w:b/>
          <w:bCs/>
          <w:sz w:val="28"/>
          <w:szCs w:val="28"/>
        </w:rPr>
        <w:t>绩效评价问卷调查报告</w:t>
      </w:r>
    </w:p>
    <w:p w:rsidR="00F55CEE" w:rsidRDefault="001145CC">
      <w:pPr>
        <w:pStyle w:val="a0"/>
        <w:spacing w:after="0" w:line="360" w:lineRule="auto"/>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一、调査对象与调查内容</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（一）调查对象</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本次社会调查的对象为旅游公路周边居民及同行人群</w:t>
      </w:r>
      <w:r>
        <w:rPr>
          <w:rFonts w:ascii="仿宋_GB2312" w:eastAsia="仿宋_GB2312" w:hAnsi="仿宋_GB2312" w:cs="仿宋_GB2312" w:hint="eastAsia"/>
          <w:sz w:val="28"/>
          <w:szCs w:val="28"/>
        </w:rPr>
        <w:t>。</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（二）调查目的</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本次问卷调查的目的是通过对调查结果的汇总分析，评价项目在管理和过程中存在的问题，衡量项目的可持续性。</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（三）调查内容</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本次问卷调查的内容主要围绕调査对象对三大板块旅游公路项目的满意度展开。</w:t>
      </w:r>
    </w:p>
    <w:p w:rsidR="00F55CEE" w:rsidRDefault="001145CC">
      <w:pPr>
        <w:pStyle w:val="a0"/>
        <w:spacing w:after="0" w:line="360" w:lineRule="auto"/>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二、调查方法与调查方式</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（一）调查方法</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针对上述问卷调查对象开展问卷调查，在调查全面开展之前，首先按照抽样原则对抽取样本的信度和效度进行论证，依据论证结果对问卷进行修改和调整以保证调研切合实际，顺利进行。</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（二）调查方法</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采用现场发放问卷方式，针对特定调查对象发</w:t>
      </w:r>
      <w:r>
        <w:rPr>
          <w:rFonts w:ascii="仿宋_GB2312" w:eastAsia="仿宋_GB2312" w:hAnsi="仿宋_GB2312" w:cs="仿宋_GB2312" w:hint="eastAsia"/>
          <w:sz w:val="28"/>
          <w:szCs w:val="28"/>
        </w:rPr>
        <w:t>放问卷</w:t>
      </w:r>
      <w:r>
        <w:rPr>
          <w:rFonts w:ascii="仿宋_GB2312" w:hAnsi="仿宋_GB2312" w:cs="仿宋_GB2312" w:hint="eastAsia"/>
          <w:sz w:val="28"/>
          <w:szCs w:val="28"/>
        </w:rPr>
        <w:t>30</w:t>
      </w:r>
      <w:r>
        <w:rPr>
          <w:rFonts w:ascii="仿宋_GB2312" w:eastAsia="仿宋_GB2312" w:hAnsi="仿宋_GB2312" w:cs="仿宋_GB2312" w:hint="eastAsia"/>
          <w:sz w:val="28"/>
          <w:szCs w:val="28"/>
        </w:rPr>
        <w:t>份。</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（三）问卷的发放和回收。</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安排专业调查人员，组织安排问卷调査工作。共收回问卷</w:t>
      </w:r>
      <w:r>
        <w:rPr>
          <w:rFonts w:ascii="仿宋_GB2312" w:hAnsi="仿宋_GB2312" w:cs="仿宋_GB2312" w:hint="eastAsia"/>
          <w:sz w:val="28"/>
          <w:szCs w:val="28"/>
        </w:rPr>
        <w:t>30</w:t>
      </w:r>
      <w:r>
        <w:rPr>
          <w:rFonts w:ascii="仿宋_GB2312" w:eastAsia="仿宋_GB2312" w:hAnsi="仿宋_GB2312" w:cs="仿宋_GB2312" w:hint="eastAsia"/>
          <w:sz w:val="28"/>
          <w:szCs w:val="28"/>
        </w:rPr>
        <w:t>份，有效问卷为</w:t>
      </w:r>
      <w:r>
        <w:rPr>
          <w:rFonts w:ascii="仿宋_GB2312" w:hAnsi="仿宋_GB2312" w:cs="仿宋_GB2312" w:hint="eastAsia"/>
          <w:sz w:val="28"/>
          <w:szCs w:val="28"/>
        </w:rPr>
        <w:t>30</w:t>
      </w:r>
      <w:r>
        <w:rPr>
          <w:rFonts w:ascii="仿宋_GB2312" w:eastAsia="仿宋_GB2312" w:hAnsi="仿宋_GB2312" w:cs="仿宋_GB2312" w:hint="eastAsia"/>
          <w:sz w:val="28"/>
          <w:szCs w:val="28"/>
        </w:rPr>
        <w:t>份。在此过程中，维持着良好的问卷作答环境，保证了调研的科学性和严谨性。</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（四）调研安排</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根据项目进度安排，于</w:t>
      </w:r>
      <w:r>
        <w:rPr>
          <w:rFonts w:ascii="仿宋_GB2312" w:eastAsia="仿宋_GB2312" w:hAnsi="仿宋_GB2312" w:cs="仿宋_GB2312" w:hint="eastAsia"/>
          <w:sz w:val="28"/>
          <w:szCs w:val="28"/>
        </w:rPr>
        <w:t>20</w:t>
      </w:r>
      <w:r>
        <w:rPr>
          <w:rFonts w:ascii="仿宋_GB2312" w:hAnsi="仿宋_GB2312" w:cs="仿宋_GB2312" w:hint="eastAsia"/>
          <w:sz w:val="28"/>
          <w:szCs w:val="28"/>
        </w:rPr>
        <w:t>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日对调查对象开展问卷调查、回收并分析。</w:t>
      </w:r>
    </w:p>
    <w:p w:rsidR="00F55CEE" w:rsidRDefault="001145CC">
      <w:pPr>
        <w:pStyle w:val="a0"/>
        <w:spacing w:after="0" w:line="360" w:lineRule="auto"/>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三、调查问卷的信度与效度分析</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（一）信度分析。</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信度</w:t>
      </w:r>
      <w:r>
        <w:rPr>
          <w:rFonts w:ascii="仿宋_GB2312" w:eastAsia="仿宋_GB2312" w:hAnsi="仿宋_GB2312" w:cs="仿宋_GB2312" w:hint="eastAsia"/>
          <w:sz w:val="28"/>
          <w:szCs w:val="28"/>
        </w:rPr>
        <w:t>( Reliability)</w:t>
      </w:r>
      <w:r>
        <w:rPr>
          <w:rFonts w:ascii="仿宋_GB2312" w:eastAsia="仿宋_GB2312" w:hAnsi="仿宋_GB2312" w:cs="仿宋_GB2312" w:hint="eastAsia"/>
          <w:sz w:val="28"/>
          <w:szCs w:val="28"/>
        </w:rPr>
        <w:t>是指测量结果的一致性、稳定性及可靠性。其目的是控制和减少随机误差。本次问卷调查运用克朗巴哈信度系数法</w:t>
      </w:r>
      <w:r>
        <w:rPr>
          <w:rFonts w:ascii="仿宋_GB2312" w:eastAsia="仿宋_GB2312" w:hAnsi="仿宋_GB2312" w:cs="仿宋_GB2312" w:hint="eastAsia"/>
          <w:sz w:val="28"/>
          <w:szCs w:val="28"/>
        </w:rPr>
        <w:t>( Cronbacha)</w:t>
      </w:r>
      <w:r>
        <w:rPr>
          <w:rFonts w:ascii="仿宋_GB2312" w:eastAsia="仿宋_GB2312" w:hAnsi="仿宋_GB2312" w:cs="仿宋_GB2312" w:hint="eastAsia"/>
          <w:sz w:val="28"/>
          <w:szCs w:val="28"/>
        </w:rPr>
        <w:t>对满意度问题的信度进行测量，其计算公式为</w:t>
      </w:r>
      <w:r>
        <w:rPr>
          <w:rFonts w:ascii="仿宋_GB2312" w:eastAsia="仿宋_GB2312" w:hAnsi="仿宋_GB2312" w:cs="仿宋_GB2312" w:hint="eastAsia"/>
          <w:sz w:val="28"/>
          <w:szCs w:val="28"/>
        </w:rPr>
        <w:t>:</w:t>
      </w:r>
    </w:p>
    <w:p w:rsidR="00F55CEE" w:rsidRDefault="00F55CEE">
      <w:pPr>
        <w:spacing w:line="360" w:lineRule="auto"/>
        <w:jc w:val="center"/>
        <w:rPr>
          <w:rFonts w:ascii="仿宋_GB2312" w:eastAsia="仿宋_GB2312" w:hAnsi="仿宋_GB2312" w:cs="仿宋_GB2312"/>
          <w:sz w:val="28"/>
          <w:szCs w:val="28"/>
        </w:rPr>
      </w:pPr>
      <w:r w:rsidRPr="00F55CEE">
        <w:rPr>
          <w:rFonts w:hint="eastAsia"/>
          <w:position w:val="-62"/>
        </w:rPr>
        <w:object w:dxaOrig="2140"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6pt;height:68.25pt" o:ole="">
            <v:imagedata r:id="rId23" o:title=""/>
          </v:shape>
          <o:OLEObject Type="Embed" ProgID="Equation.3" ShapeID="_x0000_i1025" DrawAspect="Content" ObjectID="_1690529639" r:id="rId24"/>
        </w:objec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K</w:t>
      </w:r>
      <w:r>
        <w:rPr>
          <w:rFonts w:ascii="仿宋_GB2312" w:eastAsia="仿宋_GB2312" w:hAnsi="仿宋_GB2312" w:cs="仿宋_GB2312" w:hint="eastAsia"/>
          <w:sz w:val="28"/>
          <w:szCs w:val="28"/>
        </w:rPr>
        <w:t>表示问卷中问题的数目，</w:t>
      </w:r>
      <w:r w:rsidR="00F55CEE" w:rsidRPr="00F55CEE">
        <w:rPr>
          <w:rFonts w:hint="eastAsia"/>
          <w:position w:val="-12"/>
        </w:rPr>
        <w:object w:dxaOrig="320" w:dyaOrig="380">
          <v:shape id="_x0000_i1026" type="#_x0000_t75" style="width:15.9pt;height:18.7pt" o:ole="">
            <v:imagedata r:id="rId25" o:title=""/>
          </v:shape>
          <o:OLEObject Type="Embed" ProgID="Equation.3" ShapeID="_x0000_i1026" DrawAspect="Content" ObjectID="_1690529640" r:id="rId26"/>
        </w:object>
      </w:r>
      <w:r>
        <w:rPr>
          <w:rFonts w:ascii="仿宋_GB2312" w:eastAsia="仿宋_GB2312" w:hAnsi="仿宋_GB2312" w:cs="仿宋_GB2312" w:hint="eastAsia"/>
          <w:sz w:val="28"/>
          <w:szCs w:val="28"/>
        </w:rPr>
        <w:t>为第</w:t>
      </w:r>
      <w:r>
        <w:rPr>
          <w:rFonts w:ascii="仿宋_GB2312" w:eastAsia="仿宋_GB2312" w:hAnsi="仿宋_GB2312" w:cs="仿宋_GB2312" w:hint="eastAsia"/>
          <w:sz w:val="28"/>
          <w:szCs w:val="28"/>
        </w:rPr>
        <w:t>i</w:t>
      </w:r>
      <w:r>
        <w:rPr>
          <w:rFonts w:ascii="仿宋_GB2312" w:eastAsia="仿宋_GB2312" w:hAnsi="仿宋_GB2312" w:cs="仿宋_GB2312" w:hint="eastAsia"/>
          <w:sz w:val="28"/>
          <w:szCs w:val="28"/>
        </w:rPr>
        <w:t>个问题得分的方差，</w:t>
      </w:r>
      <w:r w:rsidR="00F55CEE" w:rsidRPr="00F55CEE">
        <w:rPr>
          <w:rFonts w:ascii="仿宋_GB2312" w:eastAsia="仿宋_GB2312" w:hAnsi="仿宋_GB2312" w:cs="仿宋_GB2312" w:hint="eastAsia"/>
          <w:sz w:val="28"/>
          <w:szCs w:val="28"/>
        </w:rPr>
        <w:object w:dxaOrig="320" w:dyaOrig="360">
          <v:shape id="_x0000_i1027" type="#_x0000_t75" style="width:15.9pt;height:17.75pt" o:ole="">
            <v:imagedata r:id="rId27" o:title=""/>
          </v:shape>
          <o:OLEObject Type="Embed" ProgID="Equation.3" ShapeID="_x0000_i1027" DrawAspect="Content" ObjectID="_1690529641" r:id="rId28"/>
        </w:object>
      </w:r>
      <w:r>
        <w:rPr>
          <w:rFonts w:ascii="仿宋_GB2312" w:eastAsia="仿宋_GB2312" w:hAnsi="仿宋_GB2312" w:cs="仿宋_GB2312" w:hint="eastAsia"/>
          <w:sz w:val="28"/>
          <w:szCs w:val="28"/>
        </w:rPr>
        <w:t>为总得分的方差。</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通常，克朗巴哈系数的值在</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和</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之间。通常情况下，信度系数在</w:t>
      </w:r>
      <w:r>
        <w:rPr>
          <w:rFonts w:ascii="仿宋_GB2312" w:eastAsia="仿宋_GB2312" w:hAnsi="仿宋_GB2312" w:cs="仿宋_GB2312" w:hint="eastAsia"/>
          <w:sz w:val="28"/>
          <w:szCs w:val="28"/>
        </w:rPr>
        <w:t>0.9</w:t>
      </w:r>
      <w:r>
        <w:rPr>
          <w:rFonts w:ascii="仿宋_GB2312" w:eastAsia="仿宋_GB2312" w:hAnsi="仿宋_GB2312" w:cs="仿宋_GB2312" w:hint="eastAsia"/>
          <w:sz w:val="28"/>
          <w:szCs w:val="28"/>
        </w:rPr>
        <w:t>以上</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则认为量表的内在信度高；信度系数在</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0.9</w:t>
      </w:r>
      <w:r>
        <w:rPr>
          <w:rFonts w:ascii="仿宋_GB2312" w:eastAsia="仿宋_GB2312" w:hAnsi="仿宋_GB2312" w:cs="仿宋_GB2312" w:hint="eastAsia"/>
          <w:sz w:val="28"/>
          <w:szCs w:val="28"/>
        </w:rPr>
        <w:t>之间，则表示量表信度较高；信度系数在</w:t>
      </w:r>
      <w:r>
        <w:rPr>
          <w:rFonts w:ascii="仿宋_GB2312" w:eastAsia="仿宋_GB2312" w:hAnsi="仿宋_GB2312" w:cs="仿宋_GB2312" w:hint="eastAsia"/>
          <w:sz w:val="28"/>
          <w:szCs w:val="28"/>
        </w:rPr>
        <w:t>0.7</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之间，表示量表具有相当的信度；信度系数不超过</w:t>
      </w:r>
      <w:r>
        <w:rPr>
          <w:rFonts w:ascii="仿宋_GB2312" w:eastAsia="仿宋_GB2312" w:hAnsi="仿宋_GB2312" w:cs="仿宋_GB2312" w:hint="eastAsia"/>
          <w:sz w:val="28"/>
          <w:szCs w:val="28"/>
        </w:rPr>
        <w:t>0.7</w:t>
      </w:r>
      <w:r>
        <w:rPr>
          <w:rFonts w:ascii="仿宋_GB2312" w:eastAsia="仿宋_GB2312" w:hAnsi="仿宋_GB2312" w:cs="仿宋_GB2312" w:hint="eastAsia"/>
          <w:sz w:val="28"/>
          <w:szCs w:val="28"/>
        </w:rPr>
        <w:t>，一般认为内部一致信度太低，不宜采用。</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经分析样本问卷结果显示，满意度问卷的信度为</w:t>
      </w:r>
      <w:r>
        <w:rPr>
          <w:rFonts w:ascii="仿宋_GB2312" w:eastAsia="仿宋_GB2312" w:hAnsi="仿宋_GB2312" w:cs="仿宋_GB2312" w:hint="eastAsia"/>
          <w:sz w:val="28"/>
          <w:szCs w:val="28"/>
        </w:rPr>
        <w:t>0.94</w:t>
      </w:r>
      <w:r>
        <w:rPr>
          <w:rFonts w:ascii="仿宋_GB2312" w:eastAsia="仿宋_GB2312" w:hAnsi="仿宋_GB2312" w:cs="仿宋_GB2312" w:hint="eastAsia"/>
          <w:sz w:val="28"/>
          <w:szCs w:val="28"/>
        </w:rPr>
        <w:t>，表明问卷整体可信度高，基于问卷进行的数据统计分析结果也较为可靠。</w:t>
      </w:r>
    </w:p>
    <w:p w:rsidR="00F55CEE" w:rsidRDefault="001145CC">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（二）效度分析</w:t>
      </w:r>
    </w:p>
    <w:p w:rsidR="00F55CEE" w:rsidRDefault="001145CC">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效度</w:t>
      </w:r>
      <w:r>
        <w:rPr>
          <w:rFonts w:ascii="仿宋_GB2312" w:eastAsia="仿宋_GB2312" w:hAnsi="仿宋_GB2312" w:cs="仿宋_GB2312" w:hint="eastAsia"/>
          <w:sz w:val="28"/>
          <w:szCs w:val="28"/>
        </w:rPr>
        <w:t>( Validity)</w:t>
      </w:r>
      <w:r>
        <w:rPr>
          <w:rFonts w:ascii="仿宋_GB2312" w:eastAsia="仿宋_GB2312" w:hAnsi="仿宋_GB2312" w:cs="仿宋_GB2312" w:hint="eastAsia"/>
          <w:sz w:val="28"/>
          <w:szCs w:val="28"/>
        </w:rPr>
        <w:t>用于评价量表的准确度、有效性和正确性，即检验问卷是否能简洁、准确地描述抽样数</w:t>
      </w:r>
      <w:r>
        <w:rPr>
          <w:rFonts w:ascii="仿宋_GB2312" w:eastAsia="仿宋_GB2312" w:hAnsi="仿宋_GB2312" w:cs="仿宋_GB2312" w:hint="eastAsia"/>
          <w:sz w:val="28"/>
          <w:szCs w:val="28"/>
        </w:rPr>
        <w:t>据的属性和特征以及它们之</w:t>
      </w:r>
      <w:r>
        <w:rPr>
          <w:rFonts w:ascii="仿宋_GB2312" w:eastAsia="仿宋_GB2312" w:hAnsi="仿宋_GB2312" w:cs="仿宋_GB2312" w:hint="eastAsia"/>
          <w:sz w:val="28"/>
          <w:szCs w:val="28"/>
        </w:rPr>
        <w:lastRenderedPageBreak/>
        <w:t>间的复杂关系。效度越高则表示该问卷检测的结果所代表的要检测的行为的真实度越高，就越能达到问卷检测的目的。本次问卷调查运用相关系数来估算满意度问题的信度。其计算公式为：</w:t>
      </w:r>
    </w:p>
    <w:p w:rsidR="00F55CEE" w:rsidRDefault="00F55CEE">
      <w:pPr>
        <w:pStyle w:val="a0"/>
        <w:spacing w:line="360" w:lineRule="auto"/>
        <w:jc w:val="center"/>
        <w:rPr>
          <w:rFonts w:ascii="仿宋_GB2312" w:eastAsia="仿宋_GB2312" w:hAnsi="仿宋_GB2312" w:cs="仿宋_GB2312"/>
          <w:sz w:val="28"/>
          <w:szCs w:val="28"/>
        </w:rPr>
      </w:pPr>
      <w:r w:rsidRPr="00F55CEE">
        <w:rPr>
          <w:rFonts w:eastAsia="仿宋_GB2312" w:hAnsi="仿宋_GB2312" w:cs="仿宋_GB2312" w:hint="eastAsia"/>
          <w:sz w:val="28"/>
          <w:szCs w:val="28"/>
        </w:rPr>
        <w:object w:dxaOrig="1380" w:dyaOrig="639">
          <v:shape id="_x0000_i1028" type="#_x0000_t75" style="width:69.2pt;height:31.8pt" o:ole="">
            <v:imagedata r:id="rId29" o:title=""/>
          </v:shape>
          <o:OLEObject Type="Embed" ProgID="Equation.3" ShapeID="_x0000_i1028" DrawAspect="Content" ObjectID="_1690529642" r:id="rId30"/>
        </w:object>
      </w:r>
    </w:p>
    <w:p w:rsidR="00F55CEE" w:rsidRDefault="001145C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其中，</w:t>
      </w:r>
      <w:r w:rsidR="00F55CEE" w:rsidRPr="00F55CEE">
        <w:rPr>
          <w:rFonts w:ascii="仿宋_GB2312" w:eastAsia="仿宋_GB2312" w:hAnsi="仿宋_GB2312" w:cs="仿宋_GB2312" w:hint="eastAsia"/>
          <w:sz w:val="28"/>
          <w:szCs w:val="28"/>
        </w:rPr>
        <w:object w:dxaOrig="1080" w:dyaOrig="499">
          <v:shape id="_x0000_i1029" type="#_x0000_t75" style="width:54.25pt;height:25.25pt" o:ole="">
            <v:imagedata r:id="rId31" o:title=""/>
          </v:shape>
          <o:OLEObject Type="Embed" ProgID="Equation.3" ShapeID="_x0000_i1029" DrawAspect="Content" ObjectID="_1690529643" r:id="rId32"/>
        </w:object>
      </w:r>
      <w:r>
        <w:rPr>
          <w:rFonts w:ascii="仿宋_GB2312" w:eastAsia="仿宋_GB2312" w:hAnsi="仿宋_GB2312" w:cs="仿宋_GB2312" w:hint="eastAsia"/>
          <w:sz w:val="28"/>
          <w:szCs w:val="28"/>
        </w:rPr>
        <w:t>，表示题目得分偏差；</w:t>
      </w:r>
      <w:r w:rsidR="00F55CEE" w:rsidRPr="00F55CEE">
        <w:rPr>
          <w:rFonts w:hint="eastAsia"/>
          <w:position w:val="-12"/>
        </w:rPr>
        <w:object w:dxaOrig="999" w:dyaOrig="400">
          <v:shape id="_x0000_i1030" type="#_x0000_t75" style="width:49.55pt;height:19.65pt" o:ole="">
            <v:imagedata r:id="rId33" o:title=""/>
          </v:shape>
          <o:OLEObject Type="Embed" ProgID="Equation.3" ShapeID="_x0000_i1030" DrawAspect="Content" ObjectID="_1690529644" r:id="rId34"/>
        </w:object>
      </w:r>
      <w:r>
        <w:rPr>
          <w:rFonts w:hint="eastAsia"/>
          <w:position w:val="-12"/>
        </w:rPr>
        <w:t>，</w:t>
      </w:r>
      <w:r>
        <w:rPr>
          <w:rFonts w:ascii="仿宋_GB2312" w:eastAsia="仿宋_GB2312" w:hAnsi="仿宋_GB2312" w:cs="仿宋_GB2312" w:hint="eastAsia"/>
          <w:sz w:val="28"/>
          <w:szCs w:val="28"/>
        </w:rPr>
        <w:t>表示问卷得分偏差。</w:t>
      </w:r>
    </w:p>
    <w:p w:rsidR="00F55CEE" w:rsidRDefault="001145CC">
      <w:pPr>
        <w:pStyle w:val="a0"/>
        <w:spacing w:after="0" w:line="360" w:lineRule="auto"/>
        <w:ind w:firstLineChars="200" w:firstLine="560"/>
        <w:rPr>
          <w:sz w:val="24"/>
        </w:rPr>
        <w:sectPr w:rsidR="00F55CEE">
          <w:headerReference w:type="default" r:id="rId35"/>
          <w:footerReference w:type="default" r:id="rId36"/>
          <w:pgSz w:w="11906" w:h="16838"/>
          <w:pgMar w:top="1440" w:right="1800" w:bottom="1440" w:left="1800" w:header="851" w:footer="737" w:gutter="0"/>
          <w:pgNumType w:fmt="numberInDash"/>
          <w:cols w:space="425"/>
          <w:docGrid w:type="lines" w:linePitch="312"/>
        </w:sectPr>
      </w:pPr>
      <w:r>
        <w:rPr>
          <w:rFonts w:ascii="仿宋_GB2312" w:eastAsia="仿宋_GB2312" w:hAnsi="仿宋_GB2312" w:cs="仿宋_GB2312" w:hint="eastAsia"/>
          <w:sz w:val="28"/>
          <w:szCs w:val="28"/>
        </w:rPr>
        <w:t>通常，相关系数的值介于</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与</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之间，即</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表示两变量正相关；</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表示两变量负相关；</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表示两变量之间不存在相关关系；</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表示两变量完全线性相关</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表示两变量存在一定程度的线性相关，其中</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0.3</w:t>
      </w:r>
      <w:r>
        <w:rPr>
          <w:rFonts w:ascii="仿宋_GB2312" w:eastAsia="仿宋_GB2312" w:hAnsi="仿宋_GB2312" w:cs="仿宋_GB2312" w:hint="eastAsia"/>
          <w:sz w:val="28"/>
          <w:szCs w:val="28"/>
        </w:rPr>
        <w:t>为微弱相关，</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0.5</w:t>
      </w:r>
      <w:r>
        <w:rPr>
          <w:rFonts w:ascii="仿宋_GB2312" w:eastAsia="仿宋_GB2312" w:hAnsi="仿宋_GB2312" w:cs="仿宋_GB2312" w:hint="eastAsia"/>
          <w:sz w:val="28"/>
          <w:szCs w:val="28"/>
        </w:rPr>
        <w:t>为低度相关，</w:t>
      </w:r>
      <w:r>
        <w:rPr>
          <w:rFonts w:ascii="仿宋_GB2312" w:eastAsia="仿宋_GB2312" w:hAnsi="仿宋_GB2312" w:cs="仿宋_GB2312" w:hint="eastAsia"/>
          <w:sz w:val="28"/>
          <w:szCs w:val="28"/>
        </w:rPr>
        <w:t>0.5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为显著相关，</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为高度相关。调查数据计算结果表明，此次问卷效度较</w:t>
      </w:r>
      <w:r>
        <w:rPr>
          <w:rFonts w:ascii="仿宋_GB2312" w:hAnsi="仿宋_GB2312" w:cs="仿宋_GB2312" w:hint="eastAsia"/>
          <w:sz w:val="28"/>
          <w:szCs w:val="28"/>
        </w:rPr>
        <w:t>高。</w:t>
      </w:r>
    </w:p>
    <w:p w:rsidR="00F55CEE" w:rsidRDefault="001145CC">
      <w:pPr>
        <w:pStyle w:val="a0"/>
        <w:spacing w:line="360" w:lineRule="auto"/>
        <w:ind w:firstLineChars="200" w:firstLine="562"/>
        <w:jc w:val="center"/>
        <w:rPr>
          <w:rFonts w:ascii="楷体_GB2312" w:eastAsia="楷体_GB2312" w:hAnsi="宋体" w:cs="楷体_GB2312"/>
          <w:b/>
          <w:bCs/>
          <w:color w:val="000000"/>
          <w:kern w:val="0"/>
          <w:sz w:val="28"/>
          <w:szCs w:val="28"/>
          <w:lang/>
        </w:rPr>
      </w:pPr>
      <w:bookmarkStart w:id="245" w:name="_Toc19476"/>
      <w:bookmarkStart w:id="246" w:name="_Toc6092"/>
      <w:bookmarkStart w:id="247" w:name="_Toc26805"/>
      <w:bookmarkStart w:id="248" w:name="_Toc18834"/>
      <w:bookmarkStart w:id="249" w:name="_Toc17528"/>
      <w:bookmarkStart w:id="250" w:name="_Toc20355"/>
      <w:r>
        <w:rPr>
          <w:rFonts w:ascii="楷体_GB2312" w:eastAsia="楷体_GB2312" w:hAnsi="宋体" w:cs="楷体_GB2312" w:hint="eastAsia"/>
          <w:b/>
          <w:bCs/>
          <w:color w:val="000000"/>
          <w:kern w:val="0"/>
          <w:sz w:val="28"/>
          <w:szCs w:val="28"/>
          <w:lang/>
        </w:rPr>
        <w:lastRenderedPageBreak/>
        <w:t>调查问卷统计表</w:t>
      </w:r>
      <w:bookmarkEnd w:id="245"/>
      <w:bookmarkEnd w:id="246"/>
      <w:bookmarkEnd w:id="247"/>
      <w:bookmarkEnd w:id="248"/>
      <w:bookmarkEnd w:id="249"/>
      <w:bookmarkEnd w:id="250"/>
    </w:p>
    <w:tbl>
      <w:tblPr>
        <w:tblW w:w="8320" w:type="dxa"/>
        <w:tblInd w:w="6" w:type="dxa"/>
        <w:tblLayout w:type="fixed"/>
        <w:tblCellMar>
          <w:top w:w="15" w:type="dxa"/>
          <w:left w:w="15" w:type="dxa"/>
          <w:bottom w:w="15" w:type="dxa"/>
          <w:right w:w="15" w:type="dxa"/>
        </w:tblCellMar>
        <w:tblLook w:val="04A0"/>
      </w:tblPr>
      <w:tblGrid>
        <w:gridCol w:w="634"/>
        <w:gridCol w:w="3203"/>
        <w:gridCol w:w="2116"/>
        <w:gridCol w:w="1317"/>
        <w:gridCol w:w="1050"/>
      </w:tblGrid>
      <w:tr w:rsidR="00F55CEE">
        <w:trPr>
          <w:trHeight w:hRule="exact" w:val="567"/>
          <w:tblHeader/>
        </w:trPr>
        <w:tc>
          <w:tcPr>
            <w:tcW w:w="634"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F55CEE" w:rsidRDefault="001145CC">
            <w:pPr>
              <w:widowControl/>
              <w:jc w:val="center"/>
              <w:textAlignment w:val="center"/>
              <w:rPr>
                <w:rFonts w:ascii="楷体_GB2312" w:eastAsia="楷体_GB2312" w:hAnsi="楷体_GB2312" w:cs="楷体_GB2312"/>
                <w:b/>
                <w:bCs/>
                <w:color w:val="000000"/>
                <w:sz w:val="24"/>
              </w:rPr>
            </w:pPr>
            <w:r>
              <w:rPr>
                <w:rFonts w:ascii="楷体_GB2312" w:eastAsia="楷体_GB2312" w:hAnsi="楷体_GB2312" w:cs="楷体_GB2312" w:hint="eastAsia"/>
                <w:b/>
                <w:bCs/>
                <w:color w:val="000000"/>
                <w:kern w:val="0"/>
                <w:sz w:val="24"/>
              </w:rPr>
              <w:t>序号</w:t>
            </w:r>
          </w:p>
        </w:tc>
        <w:tc>
          <w:tcPr>
            <w:tcW w:w="3203"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F55CEE" w:rsidRDefault="001145CC">
            <w:pPr>
              <w:widowControl/>
              <w:jc w:val="center"/>
              <w:textAlignment w:val="center"/>
              <w:rPr>
                <w:rFonts w:ascii="楷体_GB2312" w:eastAsia="楷体_GB2312" w:hAnsi="楷体_GB2312" w:cs="楷体_GB2312"/>
                <w:b/>
                <w:bCs/>
                <w:color w:val="000000"/>
                <w:sz w:val="24"/>
              </w:rPr>
            </w:pPr>
            <w:r>
              <w:rPr>
                <w:rFonts w:ascii="楷体_GB2312" w:eastAsia="楷体_GB2312" w:hAnsi="楷体_GB2312" w:cs="楷体_GB2312" w:hint="eastAsia"/>
                <w:b/>
                <w:bCs/>
                <w:color w:val="000000"/>
                <w:kern w:val="0"/>
                <w:sz w:val="24"/>
              </w:rPr>
              <w:t>题目内容</w:t>
            </w:r>
          </w:p>
        </w:tc>
        <w:tc>
          <w:tcPr>
            <w:tcW w:w="2116"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F55CEE" w:rsidRDefault="001145CC">
            <w:pPr>
              <w:widowControl/>
              <w:jc w:val="center"/>
              <w:textAlignment w:val="center"/>
              <w:rPr>
                <w:rFonts w:ascii="楷体_GB2312" w:eastAsia="楷体_GB2312" w:hAnsi="楷体_GB2312" w:cs="楷体_GB2312"/>
                <w:b/>
                <w:bCs/>
                <w:color w:val="000000"/>
                <w:sz w:val="24"/>
              </w:rPr>
            </w:pPr>
            <w:r>
              <w:rPr>
                <w:rFonts w:ascii="楷体_GB2312" w:eastAsia="楷体_GB2312" w:hAnsi="楷体_GB2312" w:cs="楷体_GB2312" w:hint="eastAsia"/>
                <w:b/>
                <w:bCs/>
                <w:color w:val="000000"/>
                <w:kern w:val="0"/>
                <w:sz w:val="24"/>
              </w:rPr>
              <w:t>选项</w:t>
            </w:r>
          </w:p>
        </w:tc>
        <w:tc>
          <w:tcPr>
            <w:tcW w:w="1317"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F55CEE" w:rsidRDefault="001145CC">
            <w:pPr>
              <w:widowControl/>
              <w:jc w:val="center"/>
              <w:textAlignment w:val="center"/>
              <w:rPr>
                <w:rFonts w:ascii="楷体_GB2312" w:eastAsia="楷体_GB2312" w:hAnsi="楷体_GB2312" w:cs="楷体_GB2312"/>
                <w:b/>
                <w:bCs/>
                <w:color w:val="000000"/>
                <w:sz w:val="24"/>
              </w:rPr>
            </w:pPr>
            <w:r>
              <w:rPr>
                <w:rFonts w:ascii="楷体_GB2312" w:eastAsia="楷体_GB2312" w:hAnsi="楷体_GB2312" w:cs="楷体_GB2312" w:hint="eastAsia"/>
                <w:b/>
                <w:bCs/>
                <w:color w:val="000000"/>
                <w:kern w:val="0"/>
                <w:sz w:val="24"/>
              </w:rPr>
              <w:t>选择个数</w:t>
            </w:r>
          </w:p>
        </w:tc>
        <w:tc>
          <w:tcPr>
            <w:tcW w:w="1050"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F55CEE" w:rsidRDefault="001145CC">
            <w:pPr>
              <w:widowControl/>
              <w:jc w:val="center"/>
              <w:textAlignment w:val="center"/>
              <w:rPr>
                <w:rFonts w:ascii="楷体_GB2312" w:eastAsia="楷体_GB2312" w:hAnsi="楷体_GB2312" w:cs="楷体_GB2312"/>
                <w:b/>
                <w:bCs/>
                <w:color w:val="000000"/>
                <w:sz w:val="24"/>
              </w:rPr>
            </w:pPr>
            <w:r>
              <w:rPr>
                <w:rFonts w:ascii="楷体_GB2312" w:eastAsia="楷体_GB2312" w:hAnsi="楷体_GB2312" w:cs="楷体_GB2312" w:hint="eastAsia"/>
                <w:b/>
                <w:bCs/>
                <w:color w:val="000000"/>
                <w:kern w:val="0"/>
                <w:sz w:val="24"/>
              </w:rPr>
              <w:t>百分比</w:t>
            </w:r>
          </w:p>
        </w:tc>
      </w:tr>
      <w:tr w:rsidR="00F55CEE">
        <w:trPr>
          <w:trHeight w:val="454"/>
        </w:trPr>
        <w:tc>
          <w:tcPr>
            <w:tcW w:w="634" w:type="dxa"/>
            <w:vMerge w:val="restart"/>
            <w:tcBorders>
              <w:top w:val="single" w:sz="4" w:space="0" w:color="000000"/>
              <w:left w:val="single" w:sz="4" w:space="0" w:color="000000"/>
              <w:right w:val="single" w:sz="4" w:space="0" w:color="000000"/>
            </w:tcBorders>
            <w:vAlign w:val="center"/>
          </w:tcPr>
          <w:p w:rsidR="00F55CEE" w:rsidRDefault="001145CC">
            <w:pPr>
              <w:jc w:val="center"/>
              <w:rPr>
                <w:rFonts w:ascii="楷体_GB2312" w:eastAsia="楷体_GB2312" w:hAnsi="楷体_GB2312" w:cs="楷体_GB2312"/>
                <w:b/>
                <w:bCs/>
                <w:kern w:val="0"/>
                <w:sz w:val="24"/>
                <w:lang w:eastAsia="zh-TW"/>
              </w:rPr>
            </w:pPr>
            <w:r>
              <w:rPr>
                <w:rFonts w:ascii="楷体_GB2312" w:eastAsia="楷体_GB2312" w:hAnsi="楷体_GB2312" w:cs="楷体_GB2312" w:hint="eastAsia"/>
                <w:b/>
                <w:bCs/>
                <w:kern w:val="0"/>
                <w:sz w:val="24"/>
                <w:lang w:eastAsia="zh-TW"/>
              </w:rPr>
              <w:t>1</w:t>
            </w:r>
          </w:p>
        </w:tc>
        <w:tc>
          <w:tcPr>
            <w:tcW w:w="3203" w:type="dxa"/>
            <w:vMerge w:val="restart"/>
            <w:tcBorders>
              <w:top w:val="single" w:sz="4" w:space="0" w:color="000000"/>
              <w:left w:val="single" w:sz="4" w:space="0" w:color="000000"/>
              <w:right w:val="single" w:sz="4" w:space="0" w:color="000000"/>
            </w:tcBorders>
            <w:vAlign w:val="center"/>
          </w:tcPr>
          <w:p w:rsidR="00F55CEE" w:rsidRDefault="001145CC">
            <w:pPr>
              <w:spacing w:line="360" w:lineRule="auto"/>
              <w:rPr>
                <w:rFonts w:ascii="楷体_GB2312" w:eastAsia="楷体_GB2312" w:hAnsi="楷体_GB2312" w:cs="楷体_GB2312"/>
                <w:b/>
                <w:bCs/>
                <w:kern w:val="0"/>
                <w:sz w:val="24"/>
                <w:lang w:eastAsia="zh-TW"/>
              </w:rPr>
            </w:pPr>
            <w:r>
              <w:rPr>
                <w:rFonts w:ascii="楷体_GB2312" w:eastAsia="楷体_GB2312" w:hAnsi="楷体_GB2312" w:cs="楷体_GB2312" w:hint="eastAsia"/>
                <w:b/>
                <w:bCs/>
                <w:kern w:val="0"/>
                <w:sz w:val="24"/>
              </w:rPr>
              <w:t>您对三大板块旅游公路了解么？</w:t>
            </w: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十分了解</w:t>
            </w:r>
          </w:p>
        </w:tc>
        <w:tc>
          <w:tcPr>
            <w:tcW w:w="1317" w:type="dxa"/>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lang w:eastAsia="zh-TW"/>
              </w:rPr>
            </w:pPr>
            <w:r>
              <w:rPr>
                <w:rFonts w:ascii="楷体_GB2312" w:eastAsia="楷体_GB2312" w:hAnsi="楷体_GB2312" w:cs="楷体_GB2312" w:hint="eastAsia"/>
                <w:color w:val="000000"/>
                <w:kern w:val="0"/>
                <w:sz w:val="24"/>
                <w:lang/>
              </w:rPr>
              <w:t>40%</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比较了解</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33%</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了解一些</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17%</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完全不了解</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lang w:eastAsia="zh-TW"/>
              </w:rPr>
            </w:pPr>
            <w:r>
              <w:rPr>
                <w:rFonts w:ascii="楷体_GB2312" w:eastAsia="楷体_GB2312" w:hAnsi="楷体_GB2312" w:cs="楷体_GB2312" w:hint="eastAsia"/>
                <w:color w:val="000000"/>
                <w:kern w:val="0"/>
                <w:sz w:val="24"/>
                <w:lang/>
              </w:rPr>
              <w:t>10%</w:t>
            </w:r>
          </w:p>
        </w:tc>
      </w:tr>
      <w:tr w:rsidR="00F55CEE">
        <w:trPr>
          <w:trHeight w:val="454"/>
        </w:trPr>
        <w:tc>
          <w:tcPr>
            <w:tcW w:w="634" w:type="dxa"/>
            <w:vMerge w:val="restart"/>
            <w:tcBorders>
              <w:top w:val="single" w:sz="4" w:space="0" w:color="000000"/>
              <w:left w:val="single" w:sz="4" w:space="0" w:color="000000"/>
              <w:right w:val="single" w:sz="4" w:space="0" w:color="000000"/>
            </w:tcBorders>
            <w:vAlign w:val="center"/>
          </w:tcPr>
          <w:p w:rsidR="00F55CEE" w:rsidRDefault="001145CC">
            <w:pPr>
              <w:jc w:val="center"/>
              <w:rPr>
                <w:rFonts w:ascii="楷体_GB2312" w:eastAsia="楷体_GB2312" w:hAnsi="楷体_GB2312" w:cs="楷体_GB2312"/>
                <w:b/>
                <w:bCs/>
                <w:kern w:val="0"/>
                <w:sz w:val="24"/>
                <w:lang w:eastAsia="zh-TW"/>
              </w:rPr>
            </w:pPr>
            <w:r>
              <w:rPr>
                <w:rFonts w:ascii="楷体_GB2312" w:eastAsia="楷体_GB2312" w:hAnsi="楷体_GB2312" w:cs="楷体_GB2312" w:hint="eastAsia"/>
                <w:b/>
                <w:bCs/>
                <w:kern w:val="0"/>
                <w:sz w:val="24"/>
                <w:lang w:eastAsia="zh-TW"/>
              </w:rPr>
              <w:t>2</w:t>
            </w:r>
          </w:p>
        </w:tc>
        <w:tc>
          <w:tcPr>
            <w:tcW w:w="3203" w:type="dxa"/>
            <w:vMerge w:val="restart"/>
            <w:tcBorders>
              <w:top w:val="single" w:sz="4" w:space="0" w:color="000000"/>
              <w:left w:val="single" w:sz="4" w:space="0" w:color="000000"/>
              <w:right w:val="single" w:sz="4" w:space="0" w:color="000000"/>
            </w:tcBorders>
            <w:vAlign w:val="center"/>
          </w:tcPr>
          <w:p w:rsidR="00F55CEE" w:rsidRDefault="001145CC">
            <w:pPr>
              <w:jc w:val="left"/>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您对三大板块旅游公路工程建设规划了解情况如何？</w:t>
            </w: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非常了解</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13%</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有些了解</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20%</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听说过</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33%</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不了解</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10</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33%</w:t>
            </w:r>
          </w:p>
        </w:tc>
      </w:tr>
      <w:tr w:rsidR="00F55CEE">
        <w:trPr>
          <w:trHeight w:val="454"/>
        </w:trPr>
        <w:tc>
          <w:tcPr>
            <w:tcW w:w="634" w:type="dxa"/>
            <w:vMerge w:val="restart"/>
            <w:tcBorders>
              <w:top w:val="single" w:sz="4" w:space="0" w:color="000000"/>
              <w:left w:val="single" w:sz="4" w:space="0" w:color="000000"/>
              <w:right w:val="single" w:sz="4" w:space="0" w:color="000000"/>
            </w:tcBorders>
            <w:vAlign w:val="center"/>
          </w:tcPr>
          <w:p w:rsidR="00F55CEE" w:rsidRDefault="001145CC">
            <w:pPr>
              <w:jc w:val="center"/>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3</w:t>
            </w:r>
          </w:p>
        </w:tc>
        <w:tc>
          <w:tcPr>
            <w:tcW w:w="3203" w:type="dxa"/>
            <w:vMerge w:val="restart"/>
            <w:tcBorders>
              <w:top w:val="single" w:sz="4" w:space="0" w:color="000000"/>
              <w:left w:val="single" w:sz="4" w:space="0" w:color="000000"/>
              <w:right w:val="single" w:sz="4" w:space="0" w:color="000000"/>
            </w:tcBorders>
            <w:vAlign w:val="center"/>
          </w:tcPr>
          <w:p w:rsidR="00F55CEE" w:rsidRDefault="001145CC">
            <w:pPr>
              <w:jc w:val="left"/>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您认为三大板块旅游公路工程建设有必要么？</w:t>
            </w: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非常有必要</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16</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53%</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有必要</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11</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37%</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没有必要</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kern w:val="0"/>
                <w:sz w:val="24"/>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30%</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不清楚</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kern w:val="0"/>
                <w:sz w:val="24"/>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13%</w:t>
            </w:r>
          </w:p>
        </w:tc>
      </w:tr>
      <w:tr w:rsidR="00F55CEE">
        <w:trPr>
          <w:trHeight w:val="454"/>
        </w:trPr>
        <w:tc>
          <w:tcPr>
            <w:tcW w:w="634" w:type="dxa"/>
            <w:vMerge w:val="restart"/>
            <w:tcBorders>
              <w:top w:val="single" w:sz="4" w:space="0" w:color="000000"/>
              <w:left w:val="single" w:sz="4" w:space="0" w:color="000000"/>
              <w:right w:val="single" w:sz="4" w:space="0" w:color="000000"/>
            </w:tcBorders>
            <w:vAlign w:val="center"/>
          </w:tcPr>
          <w:p w:rsidR="00F55CEE" w:rsidRDefault="001145CC">
            <w:pPr>
              <w:jc w:val="center"/>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4</w:t>
            </w:r>
          </w:p>
        </w:tc>
        <w:tc>
          <w:tcPr>
            <w:tcW w:w="3203" w:type="dxa"/>
            <w:vMerge w:val="restart"/>
            <w:tcBorders>
              <w:top w:val="single" w:sz="4" w:space="0" w:color="000000"/>
              <w:left w:val="single" w:sz="4" w:space="0" w:color="000000"/>
              <w:right w:val="single" w:sz="4" w:space="0" w:color="000000"/>
            </w:tcBorders>
            <w:vAlign w:val="center"/>
          </w:tcPr>
          <w:p w:rsidR="00F55CEE" w:rsidRDefault="001145CC">
            <w:pPr>
              <w:jc w:val="left"/>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您认为三大板块旅游公路工程应该着重改善哪些方面？</w:t>
            </w: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道路质量</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13%</w:t>
            </w:r>
          </w:p>
        </w:tc>
      </w:tr>
      <w:tr w:rsidR="00F55CEE">
        <w:trPr>
          <w:trHeight w:val="50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道路宽度</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13%</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运营速度</w:t>
            </w:r>
            <w:r>
              <w:rPr>
                <w:rFonts w:ascii="楷体_GB2312" w:eastAsia="楷体_GB2312" w:hAnsi="楷体_GB2312" w:cs="楷体_GB2312" w:hint="eastAsia"/>
                <w:kern w:val="0"/>
                <w:sz w:val="24"/>
              </w:rPr>
              <w:t xml:space="preserve"> </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10%</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配套设施</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以上都有</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18</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60%</w:t>
            </w:r>
          </w:p>
        </w:tc>
      </w:tr>
      <w:tr w:rsidR="00F55CEE">
        <w:trPr>
          <w:trHeight w:val="454"/>
        </w:trPr>
        <w:tc>
          <w:tcPr>
            <w:tcW w:w="634" w:type="dxa"/>
            <w:vMerge w:val="restart"/>
            <w:tcBorders>
              <w:top w:val="single" w:sz="4" w:space="0" w:color="000000"/>
              <w:left w:val="single" w:sz="4" w:space="0" w:color="000000"/>
              <w:right w:val="single" w:sz="4" w:space="0" w:color="000000"/>
            </w:tcBorders>
            <w:vAlign w:val="center"/>
          </w:tcPr>
          <w:p w:rsidR="00F55CEE" w:rsidRDefault="001145CC">
            <w:pPr>
              <w:jc w:val="center"/>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5</w:t>
            </w:r>
          </w:p>
        </w:tc>
        <w:tc>
          <w:tcPr>
            <w:tcW w:w="3203" w:type="dxa"/>
            <w:vMerge w:val="restart"/>
            <w:tcBorders>
              <w:top w:val="single" w:sz="4" w:space="0" w:color="000000"/>
              <w:left w:val="single" w:sz="4" w:space="0" w:color="000000"/>
              <w:right w:val="single" w:sz="4" w:space="0" w:color="000000"/>
            </w:tcBorders>
            <w:vAlign w:val="center"/>
          </w:tcPr>
          <w:p w:rsidR="00F55CEE" w:rsidRDefault="001145CC">
            <w:pPr>
              <w:jc w:val="left"/>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您认为现阶段旅游公路道路建设还有哪些需要改进的？</w:t>
            </w: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施工拥堵</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27%</w:t>
            </w:r>
          </w:p>
        </w:tc>
      </w:tr>
      <w:tr w:rsidR="00F55CEE">
        <w:trPr>
          <w:trHeight w:val="454"/>
        </w:trPr>
        <w:tc>
          <w:tcPr>
            <w:tcW w:w="634" w:type="dxa"/>
            <w:vMerge/>
            <w:tcBorders>
              <w:left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污染环境</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13%</w:t>
            </w:r>
          </w:p>
        </w:tc>
      </w:tr>
      <w:tr w:rsidR="00F55CEE">
        <w:trPr>
          <w:trHeight w:val="454"/>
        </w:trPr>
        <w:tc>
          <w:tcPr>
            <w:tcW w:w="634" w:type="dxa"/>
            <w:vMerge/>
            <w:tcBorders>
              <w:left w:val="single" w:sz="4" w:space="0" w:color="000000"/>
              <w:bottom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bottom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施工进度</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13</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43%</w:t>
            </w:r>
          </w:p>
        </w:tc>
      </w:tr>
      <w:tr w:rsidR="00F55CEE">
        <w:trPr>
          <w:trHeight w:val="454"/>
        </w:trPr>
        <w:tc>
          <w:tcPr>
            <w:tcW w:w="634" w:type="dxa"/>
            <w:vMerge/>
            <w:tcBorders>
              <w:left w:val="single" w:sz="4" w:space="0" w:color="000000"/>
              <w:bottom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bottom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施工围挡</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7%</w:t>
            </w:r>
          </w:p>
        </w:tc>
      </w:tr>
      <w:tr w:rsidR="00F55CEE">
        <w:trPr>
          <w:trHeight w:val="454"/>
        </w:trPr>
        <w:tc>
          <w:tcPr>
            <w:tcW w:w="634" w:type="dxa"/>
            <w:vMerge/>
            <w:tcBorders>
              <w:left w:val="single" w:sz="4" w:space="0" w:color="000000"/>
              <w:bottom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000000"/>
              <w:bottom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其他</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10%</w:t>
            </w:r>
          </w:p>
        </w:tc>
      </w:tr>
      <w:tr w:rsidR="00F55CEE">
        <w:trPr>
          <w:trHeight w:val="454"/>
        </w:trPr>
        <w:tc>
          <w:tcPr>
            <w:tcW w:w="634" w:type="dxa"/>
            <w:vMerge w:val="restart"/>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6</w:t>
            </w:r>
          </w:p>
        </w:tc>
        <w:tc>
          <w:tcPr>
            <w:tcW w:w="3203" w:type="dxa"/>
            <w:vMerge w:val="restart"/>
            <w:tcBorders>
              <w:top w:val="single" w:sz="4" w:space="0" w:color="000000"/>
              <w:left w:val="single" w:sz="4" w:space="0" w:color="000000"/>
              <w:bottom w:val="single" w:sz="4" w:space="0" w:color="000000"/>
              <w:right w:val="single" w:sz="4" w:space="0" w:color="000000"/>
            </w:tcBorders>
            <w:vAlign w:val="center"/>
          </w:tcPr>
          <w:p w:rsidR="00F55CEE" w:rsidRDefault="001145CC">
            <w:pPr>
              <w:jc w:val="left"/>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您认为旅游公路道路工期多久合适？</w:t>
            </w: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1</w:t>
            </w:r>
            <w:r>
              <w:rPr>
                <w:rFonts w:ascii="楷体_GB2312" w:eastAsia="楷体_GB2312" w:hAnsi="楷体_GB2312" w:cs="楷体_GB2312" w:hint="eastAsia"/>
                <w:kern w:val="0"/>
                <w:sz w:val="24"/>
              </w:rPr>
              <w:t>年</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15</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50%</w:t>
            </w:r>
          </w:p>
        </w:tc>
      </w:tr>
      <w:tr w:rsidR="00F55CEE">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center"/>
              <w:rPr>
                <w:rFonts w:ascii="楷体_GB2312" w:eastAsia="楷体_GB2312" w:hAnsi="楷体_GB2312" w:cs="楷体_GB2312"/>
                <w:kern w:val="0"/>
                <w:sz w:val="24"/>
                <w:lang w:eastAsia="zh-TW"/>
              </w:rPr>
            </w:pPr>
          </w:p>
        </w:tc>
        <w:tc>
          <w:tcPr>
            <w:tcW w:w="3203"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left"/>
              <w:rPr>
                <w:rFonts w:ascii="楷体_GB2312" w:eastAsia="楷体_GB2312" w:hAnsi="楷体_GB2312" w:cs="楷体_GB2312"/>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2</w:t>
            </w:r>
            <w:r>
              <w:rPr>
                <w:rFonts w:ascii="楷体_GB2312" w:eastAsia="楷体_GB2312" w:hAnsi="楷体_GB2312" w:cs="楷体_GB2312" w:hint="eastAsia"/>
                <w:kern w:val="0"/>
                <w:sz w:val="24"/>
              </w:rPr>
              <w:t>年</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20%</w:t>
            </w:r>
          </w:p>
        </w:tc>
      </w:tr>
      <w:tr w:rsidR="00F55CEE">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center"/>
              <w:rPr>
                <w:rFonts w:ascii="楷体_GB2312" w:eastAsia="楷体_GB2312" w:hAnsi="楷体_GB2312" w:cs="楷体_GB2312"/>
                <w:kern w:val="0"/>
                <w:sz w:val="24"/>
                <w:lang w:eastAsia="zh-TW"/>
              </w:rPr>
            </w:pPr>
          </w:p>
        </w:tc>
        <w:tc>
          <w:tcPr>
            <w:tcW w:w="3203"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left"/>
              <w:rPr>
                <w:rFonts w:ascii="楷体_GB2312" w:eastAsia="楷体_GB2312" w:hAnsi="楷体_GB2312" w:cs="楷体_GB2312"/>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3</w:t>
            </w:r>
            <w:r>
              <w:rPr>
                <w:rFonts w:ascii="楷体_GB2312" w:eastAsia="楷体_GB2312" w:hAnsi="楷体_GB2312" w:cs="楷体_GB2312" w:hint="eastAsia"/>
                <w:kern w:val="0"/>
                <w:sz w:val="24"/>
              </w:rPr>
              <w:t>年</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7%</w:t>
            </w:r>
          </w:p>
        </w:tc>
      </w:tr>
      <w:tr w:rsidR="00F55CEE">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center"/>
              <w:rPr>
                <w:rFonts w:ascii="楷体_GB2312" w:eastAsia="楷体_GB2312" w:hAnsi="楷体_GB2312" w:cs="楷体_GB2312"/>
                <w:kern w:val="0"/>
                <w:sz w:val="24"/>
                <w:lang w:eastAsia="zh-TW"/>
              </w:rPr>
            </w:pPr>
          </w:p>
        </w:tc>
        <w:tc>
          <w:tcPr>
            <w:tcW w:w="3203"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left"/>
              <w:rPr>
                <w:rFonts w:ascii="楷体_GB2312" w:eastAsia="楷体_GB2312" w:hAnsi="楷体_GB2312" w:cs="楷体_GB2312"/>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没有想法</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7</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23%</w:t>
            </w:r>
          </w:p>
        </w:tc>
      </w:tr>
      <w:tr w:rsidR="00F55CEE">
        <w:trPr>
          <w:trHeight w:val="454"/>
        </w:trPr>
        <w:tc>
          <w:tcPr>
            <w:tcW w:w="634" w:type="dxa"/>
            <w:vMerge w:val="restart"/>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7</w:t>
            </w:r>
          </w:p>
        </w:tc>
        <w:tc>
          <w:tcPr>
            <w:tcW w:w="3203" w:type="dxa"/>
            <w:vMerge w:val="restart"/>
            <w:tcBorders>
              <w:top w:val="single" w:sz="4" w:space="0" w:color="000000"/>
              <w:left w:val="single" w:sz="4" w:space="0" w:color="000000"/>
              <w:bottom w:val="single" w:sz="4" w:space="0" w:color="000000"/>
              <w:right w:val="single" w:sz="4" w:space="0" w:color="000000"/>
            </w:tcBorders>
            <w:vAlign w:val="center"/>
          </w:tcPr>
          <w:p w:rsidR="00F55CEE" w:rsidRDefault="001145CC">
            <w:pPr>
              <w:jc w:val="left"/>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w:t>
            </w:r>
            <w:r>
              <w:rPr>
                <w:rFonts w:ascii="楷体_GB2312" w:eastAsia="楷体_GB2312" w:hAnsi="楷体_GB2312" w:cs="楷体_GB2312" w:hint="eastAsia"/>
                <w:b/>
                <w:bCs/>
                <w:kern w:val="0"/>
                <w:sz w:val="24"/>
              </w:rPr>
              <w:t>您认为三大板块旅游公路工程完工后会对生活有所改善么？</w:t>
            </w: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有很大改善</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19</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63%</w:t>
            </w:r>
          </w:p>
        </w:tc>
      </w:tr>
      <w:tr w:rsidR="00F55CEE">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有所改善</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17%</w:t>
            </w:r>
          </w:p>
        </w:tc>
      </w:tr>
      <w:tr w:rsidR="00F55CEE">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top w:val="single" w:sz="4" w:space="0" w:color="000000"/>
              <w:left w:val="single" w:sz="4" w:space="0" w:color="000000"/>
              <w:bottom w:val="single" w:sz="4" w:space="0" w:color="000000"/>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变化不大</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13%</w:t>
            </w:r>
          </w:p>
        </w:tc>
      </w:tr>
      <w:tr w:rsidR="00F55CEE">
        <w:trPr>
          <w:trHeight w:val="454"/>
        </w:trPr>
        <w:tc>
          <w:tcPr>
            <w:tcW w:w="634" w:type="dxa"/>
            <w:vMerge/>
            <w:tcBorders>
              <w:top w:val="single" w:sz="4" w:space="0" w:color="000000"/>
              <w:left w:val="single" w:sz="4" w:space="0" w:color="000000"/>
              <w:bottom w:val="single" w:sz="4" w:space="0" w:color="auto"/>
              <w:right w:val="single" w:sz="4" w:space="0" w:color="000000"/>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top w:val="single" w:sz="4" w:space="0" w:color="000000"/>
              <w:left w:val="single" w:sz="4" w:space="0" w:color="000000"/>
              <w:bottom w:val="single" w:sz="4" w:space="0" w:color="auto"/>
              <w:right w:val="single" w:sz="4" w:space="0" w:color="000000"/>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000000"/>
              <w:left w:val="single" w:sz="4" w:space="0" w:color="000000"/>
              <w:bottom w:val="single" w:sz="4" w:space="0" w:color="000000"/>
              <w:right w:val="single" w:sz="4" w:space="0" w:color="000000"/>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没有想法</w:t>
            </w:r>
          </w:p>
        </w:tc>
        <w:tc>
          <w:tcPr>
            <w:tcW w:w="1317"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7%</w:t>
            </w:r>
          </w:p>
        </w:tc>
      </w:tr>
      <w:tr w:rsidR="00F55CEE">
        <w:trPr>
          <w:trHeight w:val="454"/>
        </w:trPr>
        <w:tc>
          <w:tcPr>
            <w:tcW w:w="634" w:type="dxa"/>
            <w:vMerge w:val="restart"/>
            <w:tcBorders>
              <w:top w:val="single" w:sz="4" w:space="0" w:color="auto"/>
              <w:left w:val="single" w:sz="4" w:space="0" w:color="auto"/>
              <w:bottom w:val="single" w:sz="4" w:space="0" w:color="auto"/>
              <w:right w:val="single" w:sz="4" w:space="0" w:color="auto"/>
            </w:tcBorders>
            <w:vAlign w:val="center"/>
          </w:tcPr>
          <w:p w:rsidR="00F55CEE" w:rsidRDefault="001145CC">
            <w:pPr>
              <w:jc w:val="center"/>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8</w:t>
            </w:r>
          </w:p>
        </w:tc>
        <w:tc>
          <w:tcPr>
            <w:tcW w:w="3203" w:type="dxa"/>
            <w:vMerge w:val="restart"/>
            <w:tcBorders>
              <w:top w:val="single" w:sz="4" w:space="0" w:color="auto"/>
              <w:left w:val="single" w:sz="4" w:space="0" w:color="auto"/>
              <w:bottom w:val="single" w:sz="4" w:space="0" w:color="auto"/>
              <w:right w:val="single" w:sz="4" w:space="0" w:color="auto"/>
            </w:tcBorders>
            <w:vAlign w:val="center"/>
          </w:tcPr>
          <w:p w:rsidR="00F55CEE" w:rsidRDefault="001145CC">
            <w:pPr>
              <w:jc w:val="left"/>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您认为三大板块旅游公路工程完工后应当改变哪些方面？</w:t>
            </w:r>
          </w:p>
        </w:tc>
        <w:tc>
          <w:tcPr>
            <w:tcW w:w="2116" w:type="dxa"/>
            <w:tcBorders>
              <w:top w:val="single" w:sz="4" w:space="0" w:color="auto"/>
              <w:left w:val="single" w:sz="4" w:space="0" w:color="auto"/>
              <w:bottom w:val="single" w:sz="4" w:space="0" w:color="auto"/>
              <w:right w:val="single" w:sz="4" w:space="0" w:color="auto"/>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交通便利</w:t>
            </w:r>
          </w:p>
        </w:tc>
        <w:tc>
          <w:tcPr>
            <w:tcW w:w="1317"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2</w:t>
            </w:r>
          </w:p>
        </w:tc>
        <w:tc>
          <w:tcPr>
            <w:tcW w:w="1050"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7%</w:t>
            </w:r>
          </w:p>
        </w:tc>
      </w:tr>
      <w:tr w:rsidR="00F55CEE">
        <w:trPr>
          <w:trHeight w:val="454"/>
        </w:trPr>
        <w:tc>
          <w:tcPr>
            <w:tcW w:w="634" w:type="dxa"/>
            <w:vMerge/>
            <w:tcBorders>
              <w:top w:val="single" w:sz="4" w:space="0" w:color="auto"/>
              <w:left w:val="single" w:sz="4" w:space="0" w:color="auto"/>
              <w:bottom w:val="single" w:sz="4" w:space="0" w:color="auto"/>
              <w:right w:val="single" w:sz="4" w:space="0" w:color="auto"/>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top w:val="single" w:sz="4" w:space="0" w:color="auto"/>
              <w:left w:val="single" w:sz="4" w:space="0" w:color="auto"/>
              <w:bottom w:val="single" w:sz="4" w:space="0" w:color="auto"/>
              <w:right w:val="single" w:sz="4" w:space="0" w:color="auto"/>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auto"/>
              <w:left w:val="single" w:sz="4" w:space="0" w:color="auto"/>
              <w:bottom w:val="single" w:sz="4" w:space="0" w:color="auto"/>
              <w:right w:val="single" w:sz="4" w:space="0" w:color="auto"/>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环境优美</w:t>
            </w:r>
          </w:p>
        </w:tc>
        <w:tc>
          <w:tcPr>
            <w:tcW w:w="1317"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w:t>
            </w:r>
          </w:p>
        </w:tc>
        <w:tc>
          <w:tcPr>
            <w:tcW w:w="1050"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w:t>
            </w:r>
          </w:p>
        </w:tc>
      </w:tr>
      <w:tr w:rsidR="00F55CEE">
        <w:trPr>
          <w:trHeight w:val="454"/>
        </w:trPr>
        <w:tc>
          <w:tcPr>
            <w:tcW w:w="634" w:type="dxa"/>
            <w:vMerge/>
            <w:tcBorders>
              <w:top w:val="single" w:sz="4" w:space="0" w:color="auto"/>
              <w:left w:val="single" w:sz="4" w:space="0" w:color="auto"/>
              <w:bottom w:val="single" w:sz="4" w:space="0" w:color="auto"/>
              <w:right w:val="single" w:sz="4" w:space="0" w:color="auto"/>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top w:val="single" w:sz="4" w:space="0" w:color="auto"/>
              <w:left w:val="single" w:sz="4" w:space="0" w:color="auto"/>
              <w:bottom w:val="single" w:sz="4" w:space="0" w:color="auto"/>
              <w:right w:val="single" w:sz="4" w:space="0" w:color="auto"/>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auto"/>
              <w:left w:val="single" w:sz="4" w:space="0" w:color="auto"/>
              <w:bottom w:val="single" w:sz="4" w:space="0" w:color="auto"/>
              <w:right w:val="single" w:sz="4" w:space="0" w:color="auto"/>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设施丰富</w:t>
            </w:r>
          </w:p>
        </w:tc>
        <w:tc>
          <w:tcPr>
            <w:tcW w:w="1317"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0</w:t>
            </w:r>
          </w:p>
        </w:tc>
        <w:tc>
          <w:tcPr>
            <w:tcW w:w="1050"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0%</w:t>
            </w:r>
          </w:p>
        </w:tc>
      </w:tr>
      <w:tr w:rsidR="00F55CEE">
        <w:trPr>
          <w:trHeight w:val="454"/>
        </w:trPr>
        <w:tc>
          <w:tcPr>
            <w:tcW w:w="634" w:type="dxa"/>
            <w:vMerge/>
            <w:tcBorders>
              <w:top w:val="single" w:sz="4" w:space="0" w:color="auto"/>
              <w:left w:val="single" w:sz="4" w:space="0" w:color="auto"/>
              <w:bottom w:val="single" w:sz="4" w:space="0" w:color="auto"/>
              <w:right w:val="single" w:sz="4" w:space="0" w:color="auto"/>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top w:val="single" w:sz="4" w:space="0" w:color="auto"/>
              <w:left w:val="single" w:sz="4" w:space="0" w:color="auto"/>
              <w:bottom w:val="single" w:sz="4" w:space="0" w:color="auto"/>
              <w:right w:val="single" w:sz="4" w:space="0" w:color="auto"/>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auto"/>
              <w:left w:val="single" w:sz="4" w:space="0" w:color="auto"/>
              <w:bottom w:val="single" w:sz="4" w:space="0" w:color="auto"/>
              <w:right w:val="single" w:sz="4" w:space="0" w:color="auto"/>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通勤快速</w:t>
            </w:r>
          </w:p>
        </w:tc>
        <w:tc>
          <w:tcPr>
            <w:tcW w:w="1317"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3</w:t>
            </w:r>
          </w:p>
        </w:tc>
        <w:tc>
          <w:tcPr>
            <w:tcW w:w="1050"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10%</w:t>
            </w:r>
          </w:p>
        </w:tc>
      </w:tr>
      <w:tr w:rsidR="00F55CEE">
        <w:trPr>
          <w:trHeight w:val="454"/>
        </w:trPr>
        <w:tc>
          <w:tcPr>
            <w:tcW w:w="634" w:type="dxa"/>
            <w:vMerge/>
            <w:tcBorders>
              <w:top w:val="single" w:sz="4" w:space="0" w:color="auto"/>
              <w:left w:val="single" w:sz="4" w:space="0" w:color="auto"/>
              <w:bottom w:val="single" w:sz="4" w:space="0" w:color="auto"/>
              <w:right w:val="single" w:sz="4" w:space="0" w:color="auto"/>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top w:val="single" w:sz="4" w:space="0" w:color="auto"/>
              <w:left w:val="single" w:sz="4" w:space="0" w:color="auto"/>
              <w:bottom w:val="single" w:sz="4" w:space="0" w:color="auto"/>
              <w:right w:val="single" w:sz="4" w:space="0" w:color="auto"/>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auto"/>
              <w:left w:val="single" w:sz="4" w:space="0" w:color="auto"/>
              <w:bottom w:val="single" w:sz="4" w:space="0" w:color="auto"/>
              <w:right w:val="single" w:sz="4" w:space="0" w:color="auto"/>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以上都有</w:t>
            </w:r>
          </w:p>
        </w:tc>
        <w:tc>
          <w:tcPr>
            <w:tcW w:w="1317"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24</w:t>
            </w:r>
          </w:p>
        </w:tc>
        <w:tc>
          <w:tcPr>
            <w:tcW w:w="1050"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kern w:val="0"/>
                <w:sz w:val="24"/>
              </w:rPr>
            </w:pPr>
            <w:r>
              <w:rPr>
                <w:rFonts w:ascii="楷体_GB2312" w:eastAsia="楷体_GB2312" w:hAnsi="楷体_GB2312" w:cs="楷体_GB2312" w:hint="eastAsia"/>
                <w:color w:val="000000"/>
                <w:kern w:val="0"/>
                <w:sz w:val="24"/>
                <w:lang/>
              </w:rPr>
              <w:t>80%</w:t>
            </w:r>
          </w:p>
        </w:tc>
      </w:tr>
      <w:tr w:rsidR="00F55CEE">
        <w:trPr>
          <w:trHeight w:val="454"/>
        </w:trPr>
        <w:tc>
          <w:tcPr>
            <w:tcW w:w="634" w:type="dxa"/>
            <w:vMerge w:val="restart"/>
            <w:tcBorders>
              <w:top w:val="single" w:sz="4" w:space="0" w:color="auto"/>
              <w:left w:val="single" w:sz="4" w:space="0" w:color="auto"/>
              <w:right w:val="single" w:sz="4" w:space="0" w:color="auto"/>
            </w:tcBorders>
            <w:vAlign w:val="center"/>
          </w:tcPr>
          <w:p w:rsidR="00F55CEE" w:rsidRDefault="001145CC">
            <w:pPr>
              <w:jc w:val="center"/>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9</w:t>
            </w:r>
          </w:p>
        </w:tc>
        <w:tc>
          <w:tcPr>
            <w:tcW w:w="3203" w:type="dxa"/>
            <w:vMerge w:val="restart"/>
            <w:tcBorders>
              <w:top w:val="single" w:sz="4" w:space="0" w:color="auto"/>
              <w:left w:val="single" w:sz="4" w:space="0" w:color="auto"/>
              <w:right w:val="single" w:sz="4" w:space="0" w:color="auto"/>
            </w:tcBorders>
            <w:vAlign w:val="center"/>
          </w:tcPr>
          <w:p w:rsidR="00F55CEE" w:rsidRDefault="001145CC">
            <w:pPr>
              <w:tabs>
                <w:tab w:val="left" w:pos="877"/>
              </w:tabs>
              <w:jc w:val="left"/>
              <w:rPr>
                <w:rFonts w:ascii="楷体_GB2312" w:eastAsia="楷体_GB2312" w:hAnsi="楷体_GB2312" w:cs="楷体_GB2312"/>
                <w:b/>
                <w:bCs/>
                <w:kern w:val="0"/>
                <w:sz w:val="24"/>
              </w:rPr>
            </w:pPr>
            <w:r>
              <w:rPr>
                <w:rFonts w:ascii="楷体_GB2312" w:eastAsia="楷体_GB2312" w:hAnsi="楷体_GB2312" w:cs="楷体_GB2312" w:hint="eastAsia"/>
                <w:b/>
                <w:bCs/>
                <w:kern w:val="0"/>
                <w:sz w:val="24"/>
              </w:rPr>
              <w:t>您认为“三大板块旅游公路”建设完成后，是否会促进城乡的发展</w:t>
            </w:r>
            <w:r>
              <w:rPr>
                <w:rFonts w:ascii="楷体_GB2312" w:eastAsia="楷体_GB2312" w:hAnsi="楷体_GB2312" w:cs="楷体_GB2312" w:hint="eastAsia"/>
                <w:b/>
                <w:bCs/>
                <w:kern w:val="0"/>
                <w:sz w:val="24"/>
              </w:rPr>
              <w:tab/>
            </w:r>
          </w:p>
        </w:tc>
        <w:tc>
          <w:tcPr>
            <w:tcW w:w="2116" w:type="dxa"/>
            <w:tcBorders>
              <w:top w:val="single" w:sz="4" w:space="0" w:color="auto"/>
              <w:left w:val="single" w:sz="4" w:space="0" w:color="auto"/>
              <w:bottom w:val="single" w:sz="4" w:space="0" w:color="auto"/>
              <w:right w:val="single" w:sz="4" w:space="0" w:color="auto"/>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是</w:t>
            </w:r>
          </w:p>
        </w:tc>
        <w:tc>
          <w:tcPr>
            <w:tcW w:w="1317"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color w:val="000000"/>
                <w:kern w:val="0"/>
                <w:sz w:val="24"/>
                <w:lang/>
              </w:rPr>
            </w:pPr>
            <w:r>
              <w:rPr>
                <w:rFonts w:ascii="楷体_GB2312" w:eastAsia="楷体_GB2312" w:hAnsi="楷体_GB2312" w:cs="楷体_GB2312" w:hint="eastAsia"/>
                <w:color w:val="000000"/>
                <w:kern w:val="0"/>
                <w:sz w:val="24"/>
                <w:lang/>
              </w:rPr>
              <w:t>25</w:t>
            </w:r>
          </w:p>
        </w:tc>
        <w:tc>
          <w:tcPr>
            <w:tcW w:w="1050"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color w:val="000000"/>
                <w:kern w:val="0"/>
                <w:sz w:val="24"/>
                <w:lang/>
              </w:rPr>
            </w:pPr>
            <w:r>
              <w:rPr>
                <w:rFonts w:ascii="楷体_GB2312" w:eastAsia="楷体_GB2312" w:hAnsi="楷体_GB2312" w:cs="楷体_GB2312" w:hint="eastAsia"/>
                <w:color w:val="000000"/>
                <w:kern w:val="0"/>
                <w:sz w:val="24"/>
                <w:lang/>
              </w:rPr>
              <w:t>83%</w:t>
            </w:r>
          </w:p>
        </w:tc>
      </w:tr>
      <w:tr w:rsidR="00F55CEE">
        <w:trPr>
          <w:trHeight w:val="454"/>
        </w:trPr>
        <w:tc>
          <w:tcPr>
            <w:tcW w:w="634" w:type="dxa"/>
            <w:vMerge/>
            <w:tcBorders>
              <w:left w:val="single" w:sz="4" w:space="0" w:color="auto"/>
              <w:right w:val="single" w:sz="4" w:space="0" w:color="auto"/>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auto"/>
              <w:right w:val="single" w:sz="4" w:space="0" w:color="auto"/>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auto"/>
              <w:left w:val="single" w:sz="4" w:space="0" w:color="auto"/>
              <w:bottom w:val="single" w:sz="4" w:space="0" w:color="auto"/>
              <w:right w:val="single" w:sz="4" w:space="0" w:color="auto"/>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不清楚</w:t>
            </w:r>
          </w:p>
        </w:tc>
        <w:tc>
          <w:tcPr>
            <w:tcW w:w="1317"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color w:val="000000"/>
                <w:kern w:val="0"/>
                <w:sz w:val="24"/>
                <w:lang/>
              </w:rPr>
            </w:pPr>
            <w:r>
              <w:rPr>
                <w:rFonts w:ascii="楷体_GB2312" w:eastAsia="楷体_GB2312" w:hAnsi="楷体_GB2312" w:cs="楷体_GB2312" w:hint="eastAsia"/>
                <w:color w:val="000000"/>
                <w:kern w:val="0"/>
                <w:sz w:val="24"/>
                <w:lang/>
              </w:rPr>
              <w:t>2</w:t>
            </w:r>
          </w:p>
        </w:tc>
        <w:tc>
          <w:tcPr>
            <w:tcW w:w="1050"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color w:val="000000"/>
                <w:kern w:val="0"/>
                <w:sz w:val="24"/>
                <w:lang/>
              </w:rPr>
            </w:pPr>
            <w:r>
              <w:rPr>
                <w:rFonts w:ascii="楷体_GB2312" w:eastAsia="楷体_GB2312" w:hAnsi="楷体_GB2312" w:cs="楷体_GB2312" w:hint="eastAsia"/>
                <w:color w:val="000000"/>
                <w:kern w:val="0"/>
                <w:sz w:val="24"/>
                <w:lang/>
              </w:rPr>
              <w:t>7%</w:t>
            </w:r>
          </w:p>
        </w:tc>
      </w:tr>
      <w:tr w:rsidR="00F55CEE">
        <w:trPr>
          <w:trHeight w:val="454"/>
        </w:trPr>
        <w:tc>
          <w:tcPr>
            <w:tcW w:w="634" w:type="dxa"/>
            <w:vMerge/>
            <w:tcBorders>
              <w:left w:val="single" w:sz="4" w:space="0" w:color="auto"/>
              <w:bottom w:val="single" w:sz="4" w:space="0" w:color="auto"/>
              <w:right w:val="single" w:sz="4" w:space="0" w:color="auto"/>
            </w:tcBorders>
            <w:vAlign w:val="center"/>
          </w:tcPr>
          <w:p w:rsidR="00F55CEE" w:rsidRDefault="00F55CEE">
            <w:pPr>
              <w:jc w:val="center"/>
              <w:rPr>
                <w:rFonts w:ascii="楷体_GB2312" w:eastAsia="楷体_GB2312" w:hAnsi="楷体_GB2312" w:cs="楷体_GB2312"/>
                <w:b/>
                <w:bCs/>
                <w:kern w:val="0"/>
                <w:sz w:val="24"/>
                <w:lang w:eastAsia="zh-TW"/>
              </w:rPr>
            </w:pPr>
          </w:p>
        </w:tc>
        <w:tc>
          <w:tcPr>
            <w:tcW w:w="3203" w:type="dxa"/>
            <w:vMerge/>
            <w:tcBorders>
              <w:left w:val="single" w:sz="4" w:space="0" w:color="auto"/>
              <w:bottom w:val="single" w:sz="4" w:space="0" w:color="auto"/>
              <w:right w:val="single" w:sz="4" w:space="0" w:color="auto"/>
            </w:tcBorders>
            <w:vAlign w:val="center"/>
          </w:tcPr>
          <w:p w:rsidR="00F55CEE" w:rsidRDefault="00F55CEE">
            <w:pPr>
              <w:jc w:val="left"/>
              <w:rPr>
                <w:rFonts w:ascii="楷体_GB2312" w:eastAsia="楷体_GB2312" w:hAnsi="楷体_GB2312" w:cs="楷体_GB2312"/>
                <w:b/>
                <w:bCs/>
                <w:kern w:val="0"/>
                <w:sz w:val="24"/>
              </w:rPr>
            </w:pPr>
          </w:p>
        </w:tc>
        <w:tc>
          <w:tcPr>
            <w:tcW w:w="2116" w:type="dxa"/>
            <w:tcBorders>
              <w:top w:val="single" w:sz="4" w:space="0" w:color="auto"/>
              <w:left w:val="single" w:sz="4" w:space="0" w:color="auto"/>
              <w:bottom w:val="single" w:sz="4" w:space="0" w:color="auto"/>
              <w:right w:val="single" w:sz="4" w:space="0" w:color="auto"/>
            </w:tcBorders>
            <w:vAlign w:val="center"/>
          </w:tcPr>
          <w:p w:rsidR="00F55CEE" w:rsidRDefault="001145CC">
            <w:pPr>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不会</w:t>
            </w:r>
          </w:p>
        </w:tc>
        <w:tc>
          <w:tcPr>
            <w:tcW w:w="1317"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color w:val="000000"/>
                <w:kern w:val="0"/>
                <w:sz w:val="24"/>
                <w:lang/>
              </w:rPr>
            </w:pPr>
            <w:r>
              <w:rPr>
                <w:rFonts w:ascii="楷体_GB2312" w:eastAsia="楷体_GB2312" w:hAnsi="楷体_GB2312" w:cs="楷体_GB2312" w:hint="eastAsia"/>
                <w:color w:val="000000"/>
                <w:kern w:val="0"/>
                <w:sz w:val="24"/>
                <w:lang/>
              </w:rPr>
              <w:t>3</w:t>
            </w:r>
          </w:p>
        </w:tc>
        <w:tc>
          <w:tcPr>
            <w:tcW w:w="1050" w:type="dxa"/>
            <w:tcBorders>
              <w:top w:val="single" w:sz="4" w:space="0" w:color="auto"/>
              <w:left w:val="single" w:sz="4" w:space="0" w:color="auto"/>
              <w:bottom w:val="single" w:sz="4" w:space="0" w:color="auto"/>
              <w:right w:val="single" w:sz="4" w:space="0" w:color="auto"/>
            </w:tcBorders>
            <w:vAlign w:val="center"/>
          </w:tcPr>
          <w:p w:rsidR="00F55CEE" w:rsidRDefault="001145CC">
            <w:pPr>
              <w:widowControl/>
              <w:jc w:val="center"/>
              <w:textAlignment w:val="center"/>
              <w:rPr>
                <w:rFonts w:ascii="楷体_GB2312" w:eastAsia="楷体_GB2312" w:hAnsi="楷体_GB2312" w:cs="楷体_GB2312"/>
                <w:color w:val="000000"/>
                <w:kern w:val="0"/>
                <w:sz w:val="24"/>
                <w:lang/>
              </w:rPr>
            </w:pPr>
            <w:r>
              <w:rPr>
                <w:rFonts w:ascii="楷体_GB2312" w:eastAsia="楷体_GB2312" w:hAnsi="楷体_GB2312" w:cs="楷体_GB2312" w:hint="eastAsia"/>
                <w:color w:val="000000"/>
                <w:kern w:val="0"/>
                <w:sz w:val="24"/>
                <w:lang/>
              </w:rPr>
              <w:t>10%</w:t>
            </w:r>
          </w:p>
        </w:tc>
      </w:tr>
    </w:tbl>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1145CC">
      <w:pPr>
        <w:rPr>
          <w:rStyle w:val="1Char"/>
          <w:rFonts w:ascii="黑体" w:eastAsia="黑体" w:hAnsi="黑体" w:cs="黑体"/>
          <w:b w:val="0"/>
          <w:bCs/>
          <w:sz w:val="24"/>
          <w:szCs w:val="24"/>
        </w:rPr>
      </w:pPr>
      <w:bookmarkStart w:id="251" w:name="_Toc1861"/>
      <w:r>
        <w:rPr>
          <w:rStyle w:val="1Char"/>
          <w:rFonts w:ascii="黑体" w:eastAsia="黑体" w:hAnsi="黑体" w:cs="黑体" w:hint="eastAsia"/>
          <w:b w:val="0"/>
          <w:bCs/>
          <w:sz w:val="24"/>
          <w:szCs w:val="24"/>
        </w:rPr>
        <w:br w:type="page"/>
      </w:r>
    </w:p>
    <w:p w:rsidR="00F55CEE" w:rsidRDefault="001145CC">
      <w:pPr>
        <w:pStyle w:val="a0"/>
        <w:outlineLvl w:val="0"/>
        <w:rPr>
          <w:rStyle w:val="1Char"/>
          <w:rFonts w:ascii="黑体" w:eastAsia="黑体" w:hAnsi="黑体" w:cs="黑体"/>
          <w:b w:val="0"/>
          <w:bCs/>
          <w:sz w:val="24"/>
          <w:szCs w:val="24"/>
        </w:rPr>
      </w:pPr>
      <w:r>
        <w:rPr>
          <w:rStyle w:val="1Char"/>
          <w:rFonts w:ascii="黑体" w:eastAsia="黑体" w:hAnsi="黑体" w:cs="黑体" w:hint="eastAsia"/>
          <w:b w:val="0"/>
          <w:bCs/>
          <w:sz w:val="24"/>
          <w:szCs w:val="24"/>
        </w:rPr>
        <w:lastRenderedPageBreak/>
        <w:t>附件</w:t>
      </w:r>
      <w:r>
        <w:rPr>
          <w:rStyle w:val="1Char"/>
          <w:rFonts w:ascii="黑体" w:eastAsia="黑体" w:hAnsi="黑体" w:cs="黑体" w:hint="eastAsia"/>
          <w:b w:val="0"/>
          <w:bCs/>
          <w:sz w:val="24"/>
          <w:szCs w:val="24"/>
        </w:rPr>
        <w:t>4</w:t>
      </w:r>
      <w:r>
        <w:rPr>
          <w:rStyle w:val="1Char"/>
          <w:rFonts w:ascii="黑体" w:eastAsia="黑体" w:hAnsi="黑体" w:cs="黑体" w:hint="eastAsia"/>
          <w:b w:val="0"/>
          <w:bCs/>
          <w:sz w:val="24"/>
          <w:szCs w:val="24"/>
        </w:rPr>
        <w:t>：</w:t>
      </w:r>
      <w:bookmarkEnd w:id="239"/>
      <w:bookmarkEnd w:id="240"/>
      <w:bookmarkEnd w:id="241"/>
      <w:bookmarkEnd w:id="242"/>
      <w:bookmarkEnd w:id="243"/>
      <w:bookmarkEnd w:id="251"/>
    </w:p>
    <w:p w:rsidR="00F55CEE" w:rsidRDefault="001145CC">
      <w:pPr>
        <w:pStyle w:val="a0"/>
        <w:jc w:val="center"/>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访谈报告</w:t>
      </w:r>
    </w:p>
    <w:tbl>
      <w:tblPr>
        <w:tblStyle w:val="aa"/>
        <w:tblW w:w="8235" w:type="dxa"/>
        <w:tblInd w:w="144" w:type="dxa"/>
        <w:tblLayout w:type="fixed"/>
        <w:tblLook w:val="04A0"/>
      </w:tblPr>
      <w:tblGrid>
        <w:gridCol w:w="1515"/>
        <w:gridCol w:w="6720"/>
      </w:tblGrid>
      <w:tr w:rsidR="00F55CEE">
        <w:trPr>
          <w:trHeight w:val="571"/>
        </w:trPr>
        <w:tc>
          <w:tcPr>
            <w:tcW w:w="1515" w:type="dxa"/>
            <w:vAlign w:val="center"/>
          </w:tcPr>
          <w:p w:rsidR="00F55CEE" w:rsidRDefault="001145CC">
            <w:pPr>
              <w:pStyle w:val="a0"/>
              <w:spacing w:after="0" w:line="280" w:lineRule="exact"/>
              <w:jc w:val="center"/>
              <w:rPr>
                <w:rFonts w:ascii="楷体_GB2312" w:eastAsia="楷体_GB2312" w:hAnsi="楷体_GB2312" w:cs="楷体_GB2312"/>
                <w:b/>
                <w:bCs/>
                <w:sz w:val="24"/>
              </w:rPr>
            </w:pPr>
            <w:r>
              <w:rPr>
                <w:rFonts w:ascii="楷体_GB2312" w:eastAsia="楷体_GB2312" w:hAnsi="楷体_GB2312" w:cs="楷体_GB2312" w:hint="eastAsia"/>
                <w:b/>
                <w:bCs/>
                <w:sz w:val="24"/>
              </w:rPr>
              <w:t>项目名称</w:t>
            </w:r>
          </w:p>
        </w:tc>
        <w:tc>
          <w:tcPr>
            <w:tcW w:w="6720" w:type="dxa"/>
            <w:vAlign w:val="center"/>
          </w:tcPr>
          <w:p w:rsidR="00F55CEE" w:rsidRDefault="001145CC">
            <w:pPr>
              <w:pStyle w:val="a0"/>
              <w:spacing w:after="0" w:line="280" w:lineRule="exact"/>
              <w:rPr>
                <w:rFonts w:ascii="楷体_GB2312" w:eastAsia="楷体_GB2312" w:hAnsi="楷体_GB2312" w:cs="楷体_GB2312"/>
                <w:b/>
                <w:bCs/>
                <w:sz w:val="24"/>
              </w:rPr>
            </w:pPr>
            <w:r>
              <w:rPr>
                <w:rFonts w:ascii="楷体_GB2312" w:eastAsia="楷体_GB2312" w:hAnsi="楷体_GB2312" w:cs="楷体_GB2312" w:hint="eastAsia"/>
                <w:b/>
                <w:bCs/>
                <w:sz w:val="24"/>
              </w:rPr>
              <w:t>2020</w:t>
            </w:r>
            <w:r>
              <w:rPr>
                <w:rFonts w:ascii="楷体_GB2312" w:eastAsia="楷体_GB2312" w:hAnsi="楷体_GB2312" w:cs="楷体_GB2312" w:hint="eastAsia"/>
                <w:b/>
                <w:bCs/>
                <w:sz w:val="24"/>
              </w:rPr>
              <w:t>年</w:t>
            </w:r>
            <w:r>
              <w:rPr>
                <w:rFonts w:ascii="楷体_GB2312" w:eastAsia="楷体_GB2312" w:hAnsi="楷体_GB2312" w:cs="楷体_GB2312" w:hint="eastAsia"/>
                <w:b/>
                <w:bCs/>
                <w:sz w:val="24"/>
              </w:rPr>
              <w:t>三大板块旅游公路</w:t>
            </w:r>
            <w:r>
              <w:rPr>
                <w:rFonts w:ascii="楷体_GB2312" w:eastAsia="楷体_GB2312" w:hAnsi="楷体_GB2312" w:cs="楷体_GB2312" w:hint="eastAsia"/>
                <w:b/>
                <w:bCs/>
                <w:sz w:val="24"/>
              </w:rPr>
              <w:t>建设资金</w:t>
            </w:r>
            <w:r>
              <w:rPr>
                <w:rFonts w:ascii="楷体_GB2312" w:eastAsia="楷体_GB2312" w:hAnsi="楷体_GB2312" w:cs="楷体_GB2312" w:hint="eastAsia"/>
                <w:b/>
                <w:bCs/>
                <w:sz w:val="24"/>
              </w:rPr>
              <w:t>项目</w:t>
            </w:r>
          </w:p>
        </w:tc>
      </w:tr>
      <w:tr w:rsidR="00F55CEE">
        <w:trPr>
          <w:trHeight w:val="558"/>
        </w:trPr>
        <w:tc>
          <w:tcPr>
            <w:tcW w:w="1515" w:type="dxa"/>
            <w:vAlign w:val="center"/>
          </w:tcPr>
          <w:p w:rsidR="00F55CEE" w:rsidRDefault="001145CC">
            <w:pPr>
              <w:pStyle w:val="a0"/>
              <w:spacing w:after="0" w:line="280" w:lineRule="exact"/>
              <w:jc w:val="center"/>
              <w:rPr>
                <w:rFonts w:ascii="楷体_GB2312" w:eastAsia="楷体_GB2312" w:hAnsi="楷体_GB2312" w:cs="楷体_GB2312"/>
                <w:b/>
                <w:bCs/>
                <w:sz w:val="24"/>
              </w:rPr>
            </w:pPr>
            <w:r>
              <w:rPr>
                <w:rFonts w:ascii="楷体_GB2312" w:eastAsia="楷体_GB2312" w:hAnsi="楷体_GB2312" w:cs="楷体_GB2312" w:hint="eastAsia"/>
                <w:b/>
                <w:bCs/>
                <w:sz w:val="24"/>
              </w:rPr>
              <w:t>时间</w:t>
            </w:r>
          </w:p>
        </w:tc>
        <w:tc>
          <w:tcPr>
            <w:tcW w:w="6720" w:type="dxa"/>
            <w:vAlign w:val="center"/>
          </w:tcPr>
          <w:p w:rsidR="00F55CEE" w:rsidRDefault="001145CC">
            <w:pPr>
              <w:pStyle w:val="a0"/>
              <w:spacing w:after="0" w:line="280" w:lineRule="exact"/>
              <w:rPr>
                <w:rFonts w:ascii="楷体_GB2312" w:eastAsia="楷体_GB2312" w:hAnsi="楷体_GB2312" w:cs="楷体_GB2312"/>
                <w:b/>
                <w:bCs/>
                <w:sz w:val="24"/>
              </w:rPr>
            </w:pPr>
            <w:r>
              <w:rPr>
                <w:rFonts w:ascii="楷体_GB2312" w:eastAsia="楷体_GB2312" w:hAnsi="楷体_GB2312" w:cs="楷体_GB2312" w:hint="eastAsia"/>
                <w:b/>
                <w:bCs/>
                <w:sz w:val="24"/>
              </w:rPr>
              <w:t>20</w:t>
            </w:r>
            <w:r>
              <w:rPr>
                <w:rFonts w:ascii="楷体_GB2312" w:eastAsia="楷体_GB2312" w:hAnsi="楷体_GB2312" w:cs="楷体_GB2312" w:hint="eastAsia"/>
                <w:b/>
                <w:bCs/>
                <w:sz w:val="24"/>
              </w:rPr>
              <w:t>20</w:t>
            </w:r>
            <w:r>
              <w:rPr>
                <w:rFonts w:ascii="楷体_GB2312" w:eastAsia="楷体_GB2312" w:hAnsi="楷体_GB2312" w:cs="楷体_GB2312" w:hint="eastAsia"/>
                <w:b/>
                <w:bCs/>
                <w:sz w:val="24"/>
              </w:rPr>
              <w:t>年</w:t>
            </w:r>
            <w:r>
              <w:rPr>
                <w:rFonts w:ascii="楷体_GB2312" w:eastAsia="楷体_GB2312" w:hAnsi="楷体_GB2312" w:cs="楷体_GB2312" w:hint="eastAsia"/>
                <w:b/>
                <w:bCs/>
                <w:sz w:val="24"/>
              </w:rPr>
              <w:t>10</w:t>
            </w:r>
            <w:r>
              <w:rPr>
                <w:rFonts w:ascii="楷体_GB2312" w:eastAsia="楷体_GB2312" w:hAnsi="楷体_GB2312" w:cs="楷体_GB2312" w:hint="eastAsia"/>
                <w:b/>
                <w:bCs/>
                <w:sz w:val="24"/>
              </w:rPr>
              <w:t>月</w:t>
            </w:r>
            <w:r>
              <w:rPr>
                <w:rFonts w:ascii="楷体_GB2312" w:eastAsia="楷体_GB2312" w:hAnsi="楷体_GB2312" w:cs="楷体_GB2312" w:hint="eastAsia"/>
                <w:b/>
                <w:bCs/>
                <w:sz w:val="24"/>
              </w:rPr>
              <w:t>1</w:t>
            </w:r>
            <w:r>
              <w:rPr>
                <w:rFonts w:ascii="楷体_GB2312" w:eastAsia="楷体_GB2312" w:hAnsi="楷体_GB2312" w:cs="楷体_GB2312" w:hint="eastAsia"/>
                <w:b/>
                <w:bCs/>
                <w:sz w:val="24"/>
              </w:rPr>
              <w:t>5</w:t>
            </w:r>
            <w:r>
              <w:rPr>
                <w:rFonts w:ascii="楷体_GB2312" w:eastAsia="楷体_GB2312" w:hAnsi="楷体_GB2312" w:cs="楷体_GB2312" w:hint="eastAsia"/>
                <w:b/>
                <w:bCs/>
                <w:sz w:val="24"/>
              </w:rPr>
              <w:t>日</w:t>
            </w:r>
          </w:p>
        </w:tc>
      </w:tr>
      <w:tr w:rsidR="00F55CEE">
        <w:trPr>
          <w:trHeight w:val="658"/>
        </w:trPr>
        <w:tc>
          <w:tcPr>
            <w:tcW w:w="1515" w:type="dxa"/>
            <w:vAlign w:val="center"/>
          </w:tcPr>
          <w:p w:rsidR="00F55CEE" w:rsidRDefault="001145CC">
            <w:pPr>
              <w:pStyle w:val="a0"/>
              <w:spacing w:after="0" w:line="280" w:lineRule="exact"/>
              <w:jc w:val="center"/>
              <w:rPr>
                <w:rFonts w:ascii="楷体_GB2312" w:eastAsia="楷体_GB2312" w:hAnsi="楷体_GB2312" w:cs="楷体_GB2312"/>
                <w:b/>
                <w:bCs/>
                <w:sz w:val="24"/>
              </w:rPr>
            </w:pPr>
            <w:r>
              <w:rPr>
                <w:rFonts w:ascii="楷体_GB2312" w:eastAsia="楷体_GB2312" w:hAnsi="楷体_GB2312" w:cs="楷体_GB2312" w:hint="eastAsia"/>
                <w:b/>
                <w:bCs/>
                <w:sz w:val="24"/>
              </w:rPr>
              <w:t>访问对象</w:t>
            </w:r>
          </w:p>
        </w:tc>
        <w:tc>
          <w:tcPr>
            <w:tcW w:w="6720" w:type="dxa"/>
            <w:vAlign w:val="center"/>
          </w:tcPr>
          <w:p w:rsidR="00F55CEE" w:rsidRDefault="001145CC">
            <w:pPr>
              <w:pStyle w:val="a0"/>
              <w:spacing w:after="0" w:line="280" w:lineRule="exact"/>
              <w:rPr>
                <w:rFonts w:ascii="楷体_GB2312" w:eastAsia="楷体_GB2312" w:hAnsi="楷体_GB2312" w:cs="楷体_GB2312"/>
                <w:b/>
                <w:bCs/>
                <w:sz w:val="24"/>
              </w:rPr>
            </w:pPr>
            <w:r>
              <w:rPr>
                <w:rFonts w:ascii="楷体_GB2312" w:eastAsia="楷体_GB2312" w:hAnsi="楷体_GB2312" w:cs="楷体_GB2312" w:hint="eastAsia"/>
                <w:b/>
                <w:bCs/>
                <w:sz w:val="24"/>
              </w:rPr>
              <w:t>交通运输局员工</w:t>
            </w:r>
          </w:p>
        </w:tc>
      </w:tr>
      <w:tr w:rsidR="00F55CEE">
        <w:trPr>
          <w:trHeight w:val="709"/>
        </w:trPr>
        <w:tc>
          <w:tcPr>
            <w:tcW w:w="1515" w:type="dxa"/>
            <w:vAlign w:val="center"/>
          </w:tcPr>
          <w:p w:rsidR="00F55CEE" w:rsidRDefault="001145CC">
            <w:pPr>
              <w:pStyle w:val="a0"/>
              <w:spacing w:after="0" w:line="280" w:lineRule="exact"/>
              <w:jc w:val="center"/>
              <w:rPr>
                <w:rFonts w:ascii="楷体_GB2312" w:eastAsia="楷体_GB2312" w:hAnsi="楷体_GB2312" w:cs="楷体_GB2312"/>
                <w:b/>
                <w:bCs/>
                <w:sz w:val="24"/>
              </w:rPr>
            </w:pPr>
            <w:r>
              <w:rPr>
                <w:rFonts w:ascii="楷体_GB2312" w:eastAsia="楷体_GB2312" w:hAnsi="楷体_GB2312" w:cs="楷体_GB2312" w:hint="eastAsia"/>
                <w:b/>
                <w:bCs/>
                <w:sz w:val="24"/>
              </w:rPr>
              <w:t>主要内容</w:t>
            </w:r>
          </w:p>
        </w:tc>
        <w:tc>
          <w:tcPr>
            <w:tcW w:w="6720" w:type="dxa"/>
            <w:vAlign w:val="center"/>
          </w:tcPr>
          <w:p w:rsidR="00F55CEE" w:rsidRDefault="001145CC">
            <w:pPr>
              <w:pStyle w:val="a0"/>
              <w:numPr>
                <w:ilvl w:val="0"/>
                <w:numId w:val="5"/>
              </w:numPr>
              <w:spacing w:after="0" w:line="280" w:lineRule="exact"/>
              <w:rPr>
                <w:rFonts w:ascii="楷体_GB2312" w:eastAsia="楷体_GB2312" w:hAnsi="楷体_GB2312" w:cs="楷体_GB2312"/>
                <w:b/>
                <w:bCs/>
                <w:sz w:val="24"/>
              </w:rPr>
            </w:pPr>
            <w:r>
              <w:rPr>
                <w:rFonts w:ascii="楷体_GB2312" w:eastAsia="楷体_GB2312" w:hAnsi="楷体_GB2312" w:cs="楷体_GB2312" w:hint="eastAsia"/>
                <w:b/>
                <w:bCs/>
                <w:sz w:val="24"/>
              </w:rPr>
              <w:t>收集项目相关资料</w:t>
            </w:r>
          </w:p>
          <w:p w:rsidR="00F55CEE" w:rsidRDefault="001145CC">
            <w:pPr>
              <w:pStyle w:val="a0"/>
              <w:spacing w:after="0" w:line="280" w:lineRule="exact"/>
              <w:rPr>
                <w:rFonts w:ascii="楷体_GB2312" w:eastAsia="楷体_GB2312" w:hAnsi="楷体_GB2312" w:cs="楷体_GB2312"/>
                <w:b/>
                <w:bCs/>
                <w:sz w:val="24"/>
              </w:rPr>
            </w:pPr>
            <w:r>
              <w:rPr>
                <w:rFonts w:ascii="楷体_GB2312" w:eastAsia="楷体_GB2312" w:hAnsi="楷体_GB2312" w:cs="楷体_GB2312" w:hint="eastAsia"/>
                <w:b/>
                <w:bCs/>
                <w:sz w:val="24"/>
              </w:rPr>
              <w:t>2.</w:t>
            </w:r>
            <w:r>
              <w:rPr>
                <w:rFonts w:ascii="楷体_GB2312" w:eastAsia="楷体_GB2312" w:hAnsi="楷体_GB2312" w:cs="楷体_GB2312" w:hint="eastAsia"/>
                <w:b/>
                <w:bCs/>
                <w:sz w:val="24"/>
              </w:rPr>
              <w:t>了解</w:t>
            </w:r>
            <w:r>
              <w:rPr>
                <w:rFonts w:ascii="楷体_GB2312" w:eastAsia="楷体_GB2312" w:hAnsi="楷体_GB2312" w:cs="楷体_GB2312" w:hint="eastAsia"/>
                <w:b/>
                <w:bCs/>
                <w:sz w:val="24"/>
              </w:rPr>
              <w:t>旅游公路项目建设情况</w:t>
            </w:r>
            <w:r>
              <w:rPr>
                <w:rFonts w:ascii="楷体_GB2312" w:eastAsia="楷体_GB2312" w:hAnsi="楷体_GB2312" w:cs="楷体_GB2312" w:hint="eastAsia"/>
                <w:b/>
                <w:bCs/>
                <w:sz w:val="24"/>
              </w:rPr>
              <w:t>，</w:t>
            </w:r>
            <w:r>
              <w:rPr>
                <w:rFonts w:ascii="楷体_GB2312" w:eastAsia="楷体_GB2312" w:hAnsi="楷体_GB2312" w:cs="楷体_GB2312" w:hint="eastAsia"/>
                <w:b/>
                <w:bCs/>
                <w:sz w:val="24"/>
              </w:rPr>
              <w:t>资金</w:t>
            </w:r>
            <w:r>
              <w:rPr>
                <w:rFonts w:ascii="楷体_GB2312" w:eastAsia="楷体_GB2312" w:hAnsi="楷体_GB2312" w:cs="楷体_GB2312" w:hint="eastAsia"/>
                <w:b/>
                <w:bCs/>
                <w:sz w:val="24"/>
              </w:rPr>
              <w:t>使用情况，完成情况</w:t>
            </w:r>
          </w:p>
        </w:tc>
      </w:tr>
      <w:tr w:rsidR="00F55CEE">
        <w:trPr>
          <w:trHeight w:val="2802"/>
        </w:trPr>
        <w:tc>
          <w:tcPr>
            <w:tcW w:w="1515" w:type="dxa"/>
            <w:vAlign w:val="center"/>
          </w:tcPr>
          <w:p w:rsidR="00F55CEE" w:rsidRDefault="001145CC">
            <w:pPr>
              <w:pStyle w:val="a0"/>
              <w:spacing w:after="0" w:line="280" w:lineRule="exact"/>
              <w:jc w:val="center"/>
              <w:rPr>
                <w:rFonts w:ascii="楷体_GB2312" w:eastAsia="楷体_GB2312" w:hAnsi="楷体_GB2312" w:cs="楷体_GB2312"/>
                <w:b/>
                <w:bCs/>
                <w:sz w:val="24"/>
              </w:rPr>
            </w:pPr>
            <w:r>
              <w:rPr>
                <w:rFonts w:ascii="楷体_GB2312" w:eastAsia="楷体_GB2312" w:hAnsi="楷体_GB2312" w:cs="楷体_GB2312" w:hint="eastAsia"/>
                <w:b/>
                <w:bCs/>
                <w:sz w:val="24"/>
              </w:rPr>
              <w:t>访谈记录</w:t>
            </w:r>
          </w:p>
        </w:tc>
        <w:tc>
          <w:tcPr>
            <w:tcW w:w="6720" w:type="dxa"/>
            <w:vAlign w:val="center"/>
          </w:tcPr>
          <w:p w:rsidR="00F55CEE" w:rsidRDefault="001145CC">
            <w:pPr>
              <w:pStyle w:val="a0"/>
              <w:spacing w:after="0" w:line="340" w:lineRule="exact"/>
              <w:rPr>
                <w:rFonts w:ascii="楷体_GB2312" w:eastAsia="楷体_GB2312" w:hAnsi="楷体_GB2312" w:cs="楷体_GB2312"/>
                <w:sz w:val="24"/>
              </w:rPr>
            </w:pPr>
            <w:r>
              <w:rPr>
                <w:rFonts w:ascii="楷体_GB2312" w:eastAsia="楷体_GB2312" w:hAnsi="楷体_GB2312" w:cs="楷体_GB2312" w:hint="eastAsia"/>
                <w:sz w:val="24"/>
              </w:rPr>
              <w:t>1.</w:t>
            </w:r>
            <w:r>
              <w:rPr>
                <w:rFonts w:ascii="楷体_GB2312" w:eastAsia="楷体_GB2312" w:hAnsi="楷体_GB2312" w:cs="楷体_GB2312" w:hint="eastAsia"/>
                <w:sz w:val="24"/>
              </w:rPr>
              <w:t>请您简单介绍一下项目的立项背景（立项依据及流程）</w:t>
            </w:r>
          </w:p>
          <w:p w:rsidR="00F55CEE" w:rsidRDefault="001145CC">
            <w:pPr>
              <w:pStyle w:val="a0"/>
              <w:spacing w:after="0" w:line="340" w:lineRule="exact"/>
              <w:rPr>
                <w:rFonts w:ascii="楷体_GB2312" w:eastAsia="楷体_GB2312" w:hAnsi="楷体_GB2312" w:cs="楷体_GB2312"/>
                <w:sz w:val="24"/>
              </w:rPr>
            </w:pPr>
            <w:r>
              <w:rPr>
                <w:rFonts w:ascii="楷体_GB2312" w:eastAsia="楷体_GB2312" w:hAnsi="楷体_GB2312" w:cs="楷体_GB2312" w:hint="eastAsia"/>
                <w:sz w:val="24"/>
              </w:rPr>
              <w:t xml:space="preserve">   </w:t>
            </w:r>
            <w:r>
              <w:rPr>
                <w:rFonts w:ascii="楷体_GB2312" w:eastAsia="楷体_GB2312" w:hAnsi="楷体_GB2312" w:cs="楷体_GB2312" w:hint="eastAsia"/>
                <w:sz w:val="24"/>
              </w:rPr>
              <w:t>根据国家十三五规划，提高旅游公路和农村公路等级，实现全面脱贫致富，全面奔小康。通过路网的相互连接和完善，项目的实施，对提高干线公路的通达深度，充分发挥路网整体效益有切实的促进作用。</w:t>
            </w:r>
          </w:p>
          <w:p w:rsidR="00F55CEE" w:rsidRDefault="001145CC">
            <w:pPr>
              <w:pStyle w:val="a0"/>
              <w:spacing w:after="0" w:line="340" w:lineRule="exact"/>
              <w:ind w:firstLineChars="200" w:firstLine="480"/>
              <w:rPr>
                <w:rFonts w:ascii="楷体_GB2312" w:eastAsia="楷体_GB2312" w:hAnsi="楷体_GB2312" w:cs="楷体_GB2312"/>
                <w:sz w:val="24"/>
              </w:rPr>
            </w:pPr>
            <w:r>
              <w:rPr>
                <w:rFonts w:ascii="楷体_GB2312" w:eastAsia="楷体_GB2312" w:hAnsi="楷体_GB2312" w:cs="楷体_GB2312" w:hint="eastAsia"/>
                <w:sz w:val="24"/>
              </w:rPr>
              <w:t>三大板块旅游公路项目经过长治市黎城县，属太行山革命老区，历史悠久，山川秀美，境内旅游资源非常丰富。但土地贫瘠，土地资源贫乏，地方人民总体富裕水平不高，交通落后是主要因素之一。该项目建成后将使长治市新增一条贯通南北的旅游通道，对于促进我长治市旅游，拉动沿线地区经济社会转型发展，特别是带动贫困地区脱贫致富具有重要意义。</w:t>
            </w:r>
          </w:p>
          <w:p w:rsidR="00F55CEE" w:rsidRDefault="001145CC">
            <w:pPr>
              <w:pStyle w:val="a0"/>
              <w:numPr>
                <w:ilvl w:val="0"/>
                <w:numId w:val="5"/>
              </w:numPr>
              <w:spacing w:after="0" w:line="340" w:lineRule="exact"/>
              <w:rPr>
                <w:rFonts w:ascii="楷体_GB2312" w:eastAsia="楷体_GB2312" w:hAnsi="楷体_GB2312" w:cs="楷体_GB2312"/>
                <w:sz w:val="24"/>
              </w:rPr>
            </w:pPr>
            <w:r>
              <w:rPr>
                <w:rFonts w:ascii="楷体_GB2312" w:eastAsia="楷体_GB2312" w:hAnsi="楷体_GB2312" w:cs="楷体_GB2312" w:hint="eastAsia"/>
                <w:sz w:val="24"/>
              </w:rPr>
              <w:t>请您简</w:t>
            </w:r>
            <w:r>
              <w:rPr>
                <w:rFonts w:ascii="楷体_GB2312" w:eastAsia="楷体_GB2312" w:hAnsi="楷体_GB2312" w:cs="楷体_GB2312" w:hint="eastAsia"/>
                <w:sz w:val="24"/>
              </w:rPr>
              <w:t>要介绍一下项目的实施内容及范围、工作计划安排。</w:t>
            </w:r>
          </w:p>
          <w:p w:rsidR="00F55CEE" w:rsidRDefault="001145CC">
            <w:pPr>
              <w:pStyle w:val="a0"/>
              <w:spacing w:after="0" w:line="340" w:lineRule="exact"/>
              <w:ind w:firstLine="560"/>
              <w:rPr>
                <w:rFonts w:ascii="楷体_GB2312" w:eastAsia="楷体_GB2312" w:hAnsi="楷体_GB2312" w:cs="楷体_GB2312"/>
                <w:sz w:val="24"/>
              </w:rPr>
            </w:pPr>
            <w:r>
              <w:rPr>
                <w:rFonts w:ascii="楷体_GB2312" w:eastAsia="楷体_GB2312" w:hAnsi="楷体_GB2312" w:cs="楷体_GB2312" w:hint="eastAsia"/>
                <w:sz w:val="24"/>
              </w:rPr>
              <w:t>三大板块旅游公路（黎城段）原计划五条路段，目前实际实施四条路段。共涉及四个项目，全长</w:t>
            </w:r>
            <w:r>
              <w:rPr>
                <w:rFonts w:ascii="楷体_GB2312" w:eastAsia="楷体_GB2312" w:hAnsi="楷体_GB2312" w:cs="楷体_GB2312" w:hint="eastAsia"/>
                <w:sz w:val="24"/>
              </w:rPr>
              <w:t>57.791</w:t>
            </w:r>
            <w:r>
              <w:rPr>
                <w:rFonts w:ascii="楷体_GB2312" w:eastAsia="楷体_GB2312" w:hAnsi="楷体_GB2312" w:cs="楷体_GB2312" w:hint="eastAsia"/>
                <w:sz w:val="24"/>
              </w:rPr>
              <w:t>公里，目前实际实施的路段包括：港东</w:t>
            </w:r>
            <w:r>
              <w:rPr>
                <w:rFonts w:ascii="楷体_GB2312" w:eastAsia="楷体_GB2312" w:hAnsi="楷体_GB2312" w:cs="楷体_GB2312" w:hint="eastAsia"/>
                <w:sz w:val="24"/>
              </w:rPr>
              <w:t>-</w:t>
            </w:r>
            <w:r>
              <w:rPr>
                <w:rFonts w:ascii="楷体_GB2312" w:eastAsia="楷体_GB2312" w:hAnsi="楷体_GB2312" w:cs="楷体_GB2312" w:hint="eastAsia"/>
                <w:sz w:val="24"/>
              </w:rPr>
              <w:t>白岩寺段、北泉寨</w:t>
            </w:r>
            <w:r>
              <w:rPr>
                <w:rFonts w:ascii="楷体_GB2312" w:eastAsia="楷体_GB2312" w:hAnsi="楷体_GB2312" w:cs="楷体_GB2312" w:hint="eastAsia"/>
                <w:sz w:val="24"/>
              </w:rPr>
              <w:t>-</w:t>
            </w:r>
            <w:r>
              <w:rPr>
                <w:rFonts w:ascii="楷体_GB2312" w:eastAsia="楷体_GB2312" w:hAnsi="楷体_GB2312" w:cs="楷体_GB2312" w:hint="eastAsia"/>
                <w:sz w:val="24"/>
              </w:rPr>
              <w:t>后家滩段、杨家庄</w:t>
            </w:r>
            <w:r>
              <w:rPr>
                <w:rFonts w:ascii="楷体_GB2312" w:eastAsia="楷体_GB2312" w:hAnsi="楷体_GB2312" w:cs="楷体_GB2312" w:hint="eastAsia"/>
                <w:sz w:val="24"/>
              </w:rPr>
              <w:t>-</w:t>
            </w:r>
            <w:r>
              <w:rPr>
                <w:rFonts w:ascii="楷体_GB2312" w:eastAsia="楷体_GB2312" w:hAnsi="楷体_GB2312" w:cs="楷体_GB2312" w:hint="eastAsia"/>
                <w:sz w:val="24"/>
              </w:rPr>
              <w:t>龙洞段、西井</w:t>
            </w:r>
            <w:r>
              <w:rPr>
                <w:rFonts w:ascii="楷体_GB2312" w:eastAsia="楷体_GB2312" w:hAnsi="楷体_GB2312" w:cs="楷体_GB2312" w:hint="eastAsia"/>
                <w:sz w:val="24"/>
              </w:rPr>
              <w:t>-</w:t>
            </w:r>
            <w:r>
              <w:rPr>
                <w:rFonts w:ascii="楷体_GB2312" w:eastAsia="楷体_GB2312" w:hAnsi="楷体_GB2312" w:cs="楷体_GB2312" w:hint="eastAsia"/>
                <w:sz w:val="24"/>
              </w:rPr>
              <w:t>板山段。截止目前，累计完成里程</w:t>
            </w:r>
            <w:r>
              <w:rPr>
                <w:rFonts w:ascii="楷体_GB2312" w:eastAsia="楷体_GB2312" w:hAnsi="楷体_GB2312" w:cs="楷体_GB2312" w:hint="eastAsia"/>
                <w:sz w:val="24"/>
              </w:rPr>
              <w:t>57.791</w:t>
            </w:r>
            <w:r>
              <w:rPr>
                <w:rFonts w:ascii="楷体_GB2312" w:eastAsia="楷体_GB2312" w:hAnsi="楷体_GB2312" w:cs="楷体_GB2312" w:hint="eastAsia"/>
                <w:sz w:val="24"/>
              </w:rPr>
              <w:t>公里。</w:t>
            </w:r>
          </w:p>
          <w:p w:rsidR="00F55CEE" w:rsidRDefault="001145CC">
            <w:pPr>
              <w:pStyle w:val="a0"/>
              <w:numPr>
                <w:ilvl w:val="0"/>
                <w:numId w:val="5"/>
              </w:numPr>
              <w:spacing w:after="0" w:line="340" w:lineRule="exact"/>
              <w:rPr>
                <w:rFonts w:ascii="楷体_GB2312" w:eastAsia="楷体_GB2312" w:hAnsi="楷体_GB2312" w:cs="楷体_GB2312"/>
                <w:sz w:val="24"/>
              </w:rPr>
            </w:pPr>
            <w:r>
              <w:rPr>
                <w:rFonts w:ascii="楷体_GB2312" w:eastAsia="楷体_GB2312" w:hAnsi="楷体_GB2312" w:cs="楷体_GB2312" w:hint="eastAsia"/>
                <w:sz w:val="24"/>
              </w:rPr>
              <w:t>请您简要介绍一下，项目现阶段预算情况及整体支出情况</w:t>
            </w:r>
          </w:p>
          <w:p w:rsidR="00F55CEE" w:rsidRDefault="001145CC">
            <w:pPr>
              <w:pStyle w:val="a0"/>
              <w:spacing w:after="0" w:line="340" w:lineRule="exact"/>
              <w:rPr>
                <w:rFonts w:ascii="楷体_GB2312" w:eastAsia="楷体_GB2312" w:hAnsi="楷体_GB2312" w:cs="楷体_GB2312"/>
                <w:sz w:val="24"/>
              </w:rPr>
            </w:pPr>
            <w:r>
              <w:rPr>
                <w:rFonts w:ascii="楷体_GB2312" w:eastAsia="楷体_GB2312" w:hAnsi="楷体_GB2312" w:cs="楷体_GB2312" w:hint="eastAsia"/>
                <w:sz w:val="24"/>
              </w:rPr>
              <w:t xml:space="preserve">    </w:t>
            </w:r>
            <w:r>
              <w:rPr>
                <w:rFonts w:ascii="楷体_GB2312" w:eastAsia="楷体_GB2312" w:hAnsi="楷体_GB2312" w:cs="楷体_GB2312" w:hint="eastAsia"/>
                <w:sz w:val="24"/>
              </w:rPr>
              <w:t>这个工程的计划投资估算总投资为预算总投资</w:t>
            </w:r>
            <w:r>
              <w:rPr>
                <w:rFonts w:ascii="楷体_GB2312" w:eastAsia="楷体_GB2312" w:hAnsi="楷体_GB2312" w:cs="楷体_GB2312" w:hint="eastAsia"/>
                <w:sz w:val="24"/>
              </w:rPr>
              <w:t>22711.9836</w:t>
            </w:r>
            <w:r>
              <w:rPr>
                <w:rFonts w:ascii="楷体_GB2312" w:eastAsia="楷体_GB2312" w:hAnsi="楷体_GB2312" w:cs="楷体_GB2312" w:hint="eastAsia"/>
                <w:sz w:val="24"/>
              </w:rPr>
              <w:t>万元，截止</w:t>
            </w:r>
            <w:r>
              <w:rPr>
                <w:rFonts w:ascii="楷体_GB2312" w:eastAsia="楷体_GB2312" w:hAnsi="楷体_GB2312" w:cs="楷体_GB2312" w:hint="eastAsia"/>
                <w:sz w:val="24"/>
              </w:rPr>
              <w:t>2021</w:t>
            </w:r>
            <w:r>
              <w:rPr>
                <w:rFonts w:ascii="楷体_GB2312" w:eastAsia="楷体_GB2312" w:hAnsi="楷体_GB2312" w:cs="楷体_GB2312" w:hint="eastAsia"/>
                <w:sz w:val="24"/>
              </w:rPr>
              <w:t>年</w:t>
            </w:r>
            <w:r>
              <w:rPr>
                <w:rFonts w:ascii="楷体_GB2312" w:eastAsia="楷体_GB2312" w:hAnsi="楷体_GB2312" w:cs="楷体_GB2312" w:hint="eastAsia"/>
                <w:sz w:val="24"/>
              </w:rPr>
              <w:t>8</w:t>
            </w:r>
            <w:r>
              <w:rPr>
                <w:rFonts w:ascii="楷体_GB2312" w:eastAsia="楷体_GB2312" w:hAnsi="楷体_GB2312" w:cs="楷体_GB2312" w:hint="eastAsia"/>
                <w:sz w:val="24"/>
              </w:rPr>
              <w:t>月底到位资金</w:t>
            </w:r>
            <w:r>
              <w:rPr>
                <w:rFonts w:ascii="楷体_GB2312" w:eastAsia="楷体_GB2312" w:hAnsi="楷体_GB2312" w:cs="楷体_GB2312" w:hint="eastAsia"/>
                <w:sz w:val="24"/>
              </w:rPr>
              <w:t>19705.5</w:t>
            </w:r>
            <w:r>
              <w:rPr>
                <w:rFonts w:ascii="楷体_GB2312" w:eastAsia="楷体_GB2312" w:hAnsi="楷体_GB2312" w:cs="楷体_GB2312" w:hint="eastAsia"/>
                <w:sz w:val="24"/>
              </w:rPr>
              <w:t>万元。</w:t>
            </w:r>
            <w:r>
              <w:rPr>
                <w:rFonts w:ascii="楷体_GB2312" w:eastAsia="楷体_GB2312" w:hAnsi="楷体_GB2312" w:cs="楷体_GB2312" w:hint="eastAsia"/>
                <w:sz w:val="24"/>
              </w:rPr>
              <w:t>2020</w:t>
            </w:r>
            <w:r>
              <w:rPr>
                <w:rFonts w:ascii="楷体_GB2312" w:eastAsia="楷体_GB2312" w:hAnsi="楷体_GB2312" w:cs="楷体_GB2312" w:hint="eastAsia"/>
                <w:sz w:val="24"/>
              </w:rPr>
              <w:t>年省级一般预算到位</w:t>
            </w:r>
            <w:r>
              <w:rPr>
                <w:rFonts w:ascii="楷体_GB2312" w:eastAsia="楷体_GB2312" w:hAnsi="楷体_GB2312" w:cs="楷体_GB2312" w:hint="eastAsia"/>
                <w:sz w:val="24"/>
              </w:rPr>
              <w:t>3263</w:t>
            </w:r>
            <w:r>
              <w:rPr>
                <w:rFonts w:ascii="楷体_GB2312" w:eastAsia="楷体_GB2312" w:hAnsi="楷体_GB2312" w:cs="楷体_GB2312" w:hint="eastAsia"/>
                <w:sz w:val="24"/>
              </w:rPr>
              <w:t>万元，市级一般预算到位</w:t>
            </w:r>
            <w:r>
              <w:rPr>
                <w:rFonts w:ascii="楷体_GB2312" w:eastAsia="楷体_GB2312" w:hAnsi="楷体_GB2312" w:cs="楷体_GB2312" w:hint="eastAsia"/>
                <w:sz w:val="24"/>
              </w:rPr>
              <w:t>1105</w:t>
            </w:r>
            <w:r>
              <w:rPr>
                <w:rFonts w:ascii="楷体_GB2312" w:eastAsia="楷体_GB2312" w:hAnsi="楷体_GB2312" w:cs="楷体_GB2312" w:hint="eastAsia"/>
                <w:sz w:val="24"/>
              </w:rPr>
              <w:t>万元，</w:t>
            </w:r>
            <w:r>
              <w:rPr>
                <w:rFonts w:ascii="楷体_GB2312" w:eastAsia="楷体_GB2312" w:hAnsi="楷体_GB2312" w:cs="楷体_GB2312" w:hint="eastAsia"/>
                <w:sz w:val="24"/>
              </w:rPr>
              <w:t>2021</w:t>
            </w:r>
            <w:r>
              <w:rPr>
                <w:rFonts w:ascii="楷体_GB2312" w:eastAsia="楷体_GB2312" w:hAnsi="楷体_GB2312" w:cs="楷体_GB2312" w:hint="eastAsia"/>
                <w:sz w:val="24"/>
              </w:rPr>
              <w:t>年</w:t>
            </w:r>
            <w:r>
              <w:rPr>
                <w:rFonts w:ascii="楷体_GB2312" w:eastAsia="楷体_GB2312" w:hAnsi="楷体_GB2312" w:cs="楷体_GB2312" w:hint="eastAsia"/>
                <w:sz w:val="24"/>
              </w:rPr>
              <w:t>8</w:t>
            </w:r>
            <w:r>
              <w:rPr>
                <w:rFonts w:ascii="楷体_GB2312" w:eastAsia="楷体_GB2312" w:hAnsi="楷体_GB2312" w:cs="楷体_GB2312" w:hint="eastAsia"/>
                <w:sz w:val="24"/>
              </w:rPr>
              <w:t>月底，该项目实际使用资金共</w:t>
            </w:r>
            <w:r>
              <w:rPr>
                <w:rFonts w:ascii="楷体_GB2312" w:eastAsia="楷体_GB2312" w:hAnsi="楷体_GB2312" w:cs="楷体_GB2312" w:hint="eastAsia"/>
                <w:sz w:val="24"/>
              </w:rPr>
              <w:t>11732.7</w:t>
            </w:r>
            <w:r>
              <w:rPr>
                <w:rFonts w:ascii="楷体_GB2312" w:eastAsia="楷体_GB2312" w:hAnsi="楷体_GB2312" w:cs="楷体_GB2312" w:hint="eastAsia"/>
                <w:sz w:val="24"/>
              </w:rPr>
              <w:t>万元。</w:t>
            </w:r>
          </w:p>
          <w:p w:rsidR="00F55CEE" w:rsidRDefault="001145CC">
            <w:pPr>
              <w:pStyle w:val="a0"/>
              <w:numPr>
                <w:ilvl w:val="0"/>
                <w:numId w:val="5"/>
              </w:numPr>
              <w:spacing w:after="0" w:line="340" w:lineRule="exact"/>
              <w:rPr>
                <w:rFonts w:ascii="楷体_GB2312" w:eastAsia="楷体_GB2312" w:hAnsi="楷体_GB2312" w:cs="楷体_GB2312"/>
                <w:sz w:val="24"/>
              </w:rPr>
            </w:pPr>
            <w:r>
              <w:rPr>
                <w:rFonts w:ascii="楷体_GB2312" w:eastAsia="楷体_GB2312" w:hAnsi="楷体_GB2312" w:cs="楷体_GB2312" w:hint="eastAsia"/>
                <w:sz w:val="24"/>
              </w:rPr>
              <w:t>请您简要介绍一下项目公司的成立及运行情况？</w:t>
            </w:r>
          </w:p>
          <w:p w:rsidR="00F55CEE" w:rsidRDefault="001145CC">
            <w:pPr>
              <w:pStyle w:val="a0"/>
              <w:spacing w:after="0" w:line="340" w:lineRule="exact"/>
              <w:rPr>
                <w:rFonts w:ascii="楷体_GB2312" w:eastAsia="楷体_GB2312" w:hAnsi="楷体_GB2312" w:cs="楷体_GB2312"/>
                <w:sz w:val="24"/>
              </w:rPr>
            </w:pPr>
            <w:r>
              <w:rPr>
                <w:rFonts w:ascii="楷体_GB2312" w:eastAsia="楷体_GB2312" w:hAnsi="楷体_GB2312" w:cs="楷体_GB2312" w:hint="eastAsia"/>
                <w:sz w:val="24"/>
              </w:rPr>
              <w:t xml:space="preserve">   </w:t>
            </w:r>
            <w:r>
              <w:rPr>
                <w:rFonts w:ascii="楷体_GB2312" w:eastAsia="楷体_GB2312" w:hAnsi="楷体_GB2312" w:cs="楷体_GB2312" w:hint="eastAsia"/>
                <w:sz w:val="24"/>
              </w:rPr>
              <w:t>黎城县交通局负责具体的建设管理。黎城县委托中标的监理单位对我们日常工作进行监督管理，定期汇报数据。同时，黎城县政府以及财政局对项目进行全过程跟踪审计管理，对于项目出现的问题有处罚及限期整改权。</w:t>
            </w:r>
          </w:p>
          <w:p w:rsidR="00F55CEE" w:rsidRDefault="001145CC">
            <w:pPr>
              <w:pStyle w:val="a0"/>
              <w:spacing w:after="0" w:line="340" w:lineRule="exact"/>
              <w:rPr>
                <w:rFonts w:ascii="楷体_GB2312" w:eastAsia="楷体_GB2312" w:hAnsi="楷体_GB2312" w:cs="楷体_GB2312"/>
                <w:sz w:val="24"/>
              </w:rPr>
            </w:pPr>
            <w:r>
              <w:rPr>
                <w:rFonts w:ascii="楷体_GB2312" w:eastAsia="楷体_GB2312" w:hAnsi="楷体_GB2312" w:cs="楷体_GB2312" w:hint="eastAsia"/>
                <w:sz w:val="24"/>
              </w:rPr>
              <w:t>5.</w:t>
            </w:r>
            <w:r>
              <w:rPr>
                <w:rFonts w:ascii="楷体_GB2312" w:eastAsia="楷体_GB2312" w:hAnsi="楷体_GB2312" w:cs="楷体_GB2312" w:hint="eastAsia"/>
                <w:sz w:val="24"/>
              </w:rPr>
              <w:t>项目实施过程</w:t>
            </w:r>
            <w:r>
              <w:rPr>
                <w:rFonts w:ascii="楷体_GB2312" w:eastAsia="楷体_GB2312" w:hAnsi="楷体_GB2312" w:cs="楷体_GB2312" w:hint="eastAsia"/>
                <w:sz w:val="24"/>
              </w:rPr>
              <w:t>中，项目具体成效，有哪些经验做法，存在哪些问题？</w:t>
            </w:r>
          </w:p>
          <w:p w:rsidR="00F55CEE" w:rsidRDefault="001145CC">
            <w:pPr>
              <w:pStyle w:val="a0"/>
              <w:spacing w:after="0" w:line="340" w:lineRule="exact"/>
              <w:ind w:firstLineChars="200" w:firstLine="480"/>
              <w:rPr>
                <w:rFonts w:ascii="楷体_GB2312" w:eastAsia="楷体_GB2312" w:hAnsi="楷体_GB2312" w:cs="楷体_GB2312"/>
                <w:sz w:val="24"/>
              </w:rPr>
            </w:pPr>
            <w:r>
              <w:rPr>
                <w:rFonts w:ascii="楷体_GB2312" w:eastAsia="楷体_GB2312" w:hAnsi="楷体_GB2312" w:cs="楷体_GB2312" w:hint="eastAsia"/>
                <w:sz w:val="24"/>
              </w:rPr>
              <w:t>经验有：财务管理制度健全、项目日常档案管理得当。现在主要就是项目验收慢；项目资金使用率低，账面剩余资金</w:t>
            </w:r>
            <w:r>
              <w:rPr>
                <w:rFonts w:ascii="楷体_GB2312" w:eastAsia="楷体_GB2312" w:hAnsi="楷体_GB2312" w:cs="楷体_GB2312" w:hint="eastAsia"/>
                <w:sz w:val="24"/>
              </w:rPr>
              <w:lastRenderedPageBreak/>
              <w:t xml:space="preserve">29,658,000.00 </w:t>
            </w:r>
            <w:r>
              <w:rPr>
                <w:rFonts w:ascii="楷体_GB2312" w:eastAsia="楷体_GB2312" w:hAnsi="楷体_GB2312" w:cs="楷体_GB2312" w:hint="eastAsia"/>
                <w:sz w:val="24"/>
              </w:rPr>
              <w:t>元。</w:t>
            </w:r>
          </w:p>
        </w:tc>
      </w:tr>
    </w:tbl>
    <w:p w:rsidR="00F55CEE" w:rsidRDefault="00F55CEE">
      <w:pPr>
        <w:pStyle w:val="a0"/>
        <w:outlineLvl w:val="0"/>
        <w:rPr>
          <w:rFonts w:ascii="仿宋_GB2312" w:eastAsia="仿宋_GB2312" w:hAnsi="仿宋_GB2312" w:cs="仿宋_GB2312"/>
          <w:b/>
          <w:bCs/>
          <w:szCs w:val="21"/>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outlineLvl w:val="0"/>
        <w:rPr>
          <w:rStyle w:val="1Char"/>
          <w:rFonts w:ascii="黑体" w:eastAsia="黑体" w:hAnsi="黑体" w:cs="黑体"/>
          <w:b w:val="0"/>
          <w:bCs/>
          <w:sz w:val="24"/>
          <w:szCs w:val="24"/>
        </w:rPr>
      </w:pPr>
    </w:p>
    <w:p w:rsidR="00F55CEE" w:rsidRDefault="00F55CEE">
      <w:pPr>
        <w:pStyle w:val="a0"/>
        <w:rPr>
          <w:rStyle w:val="1Char"/>
          <w:rFonts w:ascii="黑体" w:eastAsia="黑体" w:hAnsi="黑体" w:cs="黑体"/>
          <w:b w:val="0"/>
          <w:bCs/>
          <w:sz w:val="24"/>
          <w:szCs w:val="24"/>
        </w:rPr>
      </w:pPr>
    </w:p>
    <w:sectPr w:rsidR="00F55CEE" w:rsidSect="00F55CEE">
      <w:headerReference w:type="default" r:id="rId37"/>
      <w:footerReference w:type="default" r:id="rId38"/>
      <w:pgSz w:w="11906" w:h="16838"/>
      <w:pgMar w:top="1440" w:right="1800" w:bottom="1440" w:left="1800" w:header="851" w:footer="96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5CC" w:rsidRDefault="001145CC" w:rsidP="00F55CEE">
      <w:r>
        <w:separator/>
      </w:r>
    </w:p>
  </w:endnote>
  <w:endnote w:type="continuationSeparator" w:id="1">
    <w:p w:rsidR="001145CC" w:rsidRDefault="001145CC" w:rsidP="00F55C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F81" w:rsidRDefault="00DC5F81">
    <w:pPr>
      <w:pStyle w:val="a6"/>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F55CEE">
    <w:pPr>
      <w:pBdr>
        <w:top w:val="single" w:sz="4" w:space="0" w:color="auto"/>
      </w:pBdr>
      <w:jc w:val="left"/>
      <w:rPr>
        <w:sz w:val="18"/>
        <w:szCs w:val="18"/>
      </w:rPr>
    </w:pPr>
    <w:r w:rsidRPr="00F55CEE">
      <w:rPr>
        <w:sz w:val="18"/>
      </w:rPr>
      <w:pict>
        <v:shapetype id="_x0000_t202" coordsize="21600,21600" o:spt="202" path="m,l,21600r21600,l21600,xe">
          <v:stroke joinstyle="miter"/>
          <v:path gradientshapeok="t" o:connecttype="rect"/>
        </v:shapetype>
        <v:shape id="_x0000_s1028" type="#_x0000_t202" style="position:absolute;margin-left:0;margin-top:0;width:2in;height:2in;z-index:251662336;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JZOaWrRAQAAowMAAA4AAAAAAAAAAQAgAAAAHgEAAGRy&#10;cy9lMm9Eb2MueG1sUEsFBgAAAAAGAAYAWQEAAGEFAAAAAA==&#10;" filled="f" stroked="f">
          <v:textbox style="mso-fit-shape-to-text:t" inset="0,0,0,0">
            <w:txbxContent>
              <w:p w:rsidR="00F55CEE" w:rsidRDefault="00F55CEE">
                <w:pPr>
                  <w:snapToGrid w:val="0"/>
                  <w:rPr>
                    <w:sz w:val="18"/>
                  </w:rPr>
                </w:pPr>
                <w:r>
                  <w:rPr>
                    <w:rFonts w:hint="eastAsia"/>
                    <w:sz w:val="18"/>
                  </w:rPr>
                  <w:fldChar w:fldCharType="begin"/>
                </w:r>
                <w:r w:rsidR="001145CC">
                  <w:rPr>
                    <w:rFonts w:hint="eastAsia"/>
                    <w:sz w:val="18"/>
                  </w:rPr>
                  <w:instrText xml:space="preserve"> PAGE  \* MERGEFORMAT </w:instrText>
                </w:r>
                <w:r>
                  <w:rPr>
                    <w:rFonts w:hint="eastAsia"/>
                    <w:sz w:val="18"/>
                  </w:rPr>
                  <w:fldChar w:fldCharType="separate"/>
                </w:r>
                <w:r w:rsidR="00DC5F81">
                  <w:rPr>
                    <w:noProof/>
                    <w:sz w:val="18"/>
                  </w:rPr>
                  <w:t>- 41 -</w:t>
                </w:r>
                <w:r>
                  <w:rPr>
                    <w:rFonts w:hint="eastAsia"/>
                    <w:sz w:val="18"/>
                  </w:rPr>
                  <w:fldChar w:fldCharType="end"/>
                </w:r>
              </w:p>
            </w:txbxContent>
          </v:textbox>
          <w10:wrap anchorx="margin"/>
        </v:shape>
      </w:pict>
    </w:r>
    <w:r w:rsidR="001145CC">
      <w:rPr>
        <w:rFonts w:hint="eastAsia"/>
        <w:sz w:val="18"/>
      </w:rPr>
      <w:t>长治</w:t>
    </w:r>
    <w:r w:rsidR="001145CC">
      <w:rPr>
        <w:rFonts w:hint="eastAsia"/>
        <w:sz w:val="18"/>
      </w:rPr>
      <w:t>**</w:t>
    </w:r>
    <w:r w:rsidR="001145CC">
      <w:rPr>
        <w:rFonts w:hint="eastAsia"/>
        <w:sz w:val="18"/>
      </w:rPr>
      <w:t>会计师事务所有限公司</w:t>
    </w:r>
    <w:r w:rsidR="001145CC">
      <w:rPr>
        <w:rFonts w:hint="eastAsia"/>
        <w:sz w:val="18"/>
      </w:rPr>
      <w:t xml:space="preserve">                                             </w:t>
    </w:r>
    <w:r w:rsidR="001145CC">
      <w:rPr>
        <w:rFonts w:hint="eastAsia"/>
        <w:sz w:val="18"/>
      </w:rPr>
      <w:t>电话：</w:t>
    </w:r>
    <w:r w:rsidR="001145CC">
      <w:rPr>
        <w:rFonts w:hint="eastAsia"/>
        <w:sz w:val="18"/>
      </w:rPr>
      <w:t>0355-2046252</w:t>
    </w:r>
  </w:p>
  <w:p w:rsidR="00F55CEE" w:rsidRDefault="00F55CEE">
    <w:pPr>
      <w:pBdr>
        <w:top w:val="single" w:sz="4" w:space="0" w:color="auto"/>
      </w:pBdr>
      <w:jc w:val="left"/>
      <w:rPr>
        <w:sz w:val="18"/>
        <w:szCs w:val="18"/>
      </w:rPr>
    </w:pPr>
  </w:p>
  <w:p w:rsidR="00F55CEE" w:rsidRDefault="00F55CEE">
    <w:pPr>
      <w:pStyle w:val="a6"/>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F55CEE">
    <w:pPr>
      <w:pBdr>
        <w:top w:val="single" w:sz="4" w:space="0" w:color="auto"/>
      </w:pBdr>
      <w:rPr>
        <w:sz w:val="18"/>
        <w:szCs w:val="18"/>
      </w:rPr>
    </w:pPr>
    <w:r w:rsidRPr="00F55CEE">
      <w:rPr>
        <w:sz w:val="18"/>
      </w:rPr>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mdSHdEBAACi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tZ&#10;Jnl6DzVmPXjMi8NHN+DSzPeAl4n1IINJX+RDMI7ini7iiiESnh6tqtWqxBDH2OwgfvH83AeIn4Qz&#10;JBkNDTi9LCo7foE4ps4pqZp1t0rrPEFtSd/Q66vqKj+4RBBcW6yRSIzNJisOu2FitnPtCYn1uAEN&#10;tbjwlOjPFgVOyzIbYTZ2s3HwQe27vE2pE/AfDhG7yU2mCiPsVBhHl2lOa5Z2428/Zz3/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A5nUh3RAQAAogMAAA4AAAAAAAAAAQAgAAAAHgEAAGRy&#10;cy9lMm9Eb2MueG1sUEsFBgAAAAAGAAYAWQEAAGEFAAAAAA==&#10;" filled="f" stroked="f">
          <v:textbox style="mso-fit-shape-to-text:t" inset="0,0,0,0">
            <w:txbxContent>
              <w:p w:rsidR="00F55CEE" w:rsidRDefault="00F55CEE">
                <w:pPr>
                  <w:snapToGrid w:val="0"/>
                  <w:rPr>
                    <w:sz w:val="18"/>
                  </w:rPr>
                </w:pPr>
                <w:r>
                  <w:rPr>
                    <w:rFonts w:hint="eastAsia"/>
                    <w:sz w:val="18"/>
                  </w:rPr>
                  <w:fldChar w:fldCharType="begin"/>
                </w:r>
                <w:r w:rsidR="001145CC">
                  <w:rPr>
                    <w:rFonts w:hint="eastAsia"/>
                    <w:sz w:val="18"/>
                  </w:rPr>
                  <w:instrText xml:space="preserve"> PAGE  \* MERGEFORMAT </w:instrText>
                </w:r>
                <w:r>
                  <w:rPr>
                    <w:rFonts w:hint="eastAsia"/>
                    <w:sz w:val="18"/>
                  </w:rPr>
                  <w:fldChar w:fldCharType="separate"/>
                </w:r>
                <w:r w:rsidR="00DC5F81">
                  <w:rPr>
                    <w:noProof/>
                    <w:sz w:val="18"/>
                  </w:rPr>
                  <w:t>- 45 -</w:t>
                </w:r>
                <w:r>
                  <w:rPr>
                    <w:rFonts w:hint="eastAsia"/>
                    <w:sz w:val="18"/>
                  </w:rPr>
                  <w:fldChar w:fldCharType="end"/>
                </w:r>
              </w:p>
            </w:txbxContent>
          </v:textbox>
          <w10:wrap anchorx="margin"/>
        </v:shape>
      </w:pict>
    </w:r>
    <w:r w:rsidR="001145CC">
      <w:rPr>
        <w:rFonts w:hint="eastAsia"/>
        <w:sz w:val="18"/>
      </w:rPr>
      <w:t>长治</w:t>
    </w:r>
    <w:r w:rsidR="001145CC">
      <w:rPr>
        <w:rFonts w:hint="eastAsia"/>
        <w:sz w:val="18"/>
      </w:rPr>
      <w:t>**</w:t>
    </w:r>
    <w:r w:rsidR="001145CC">
      <w:rPr>
        <w:rFonts w:hint="eastAsia"/>
        <w:sz w:val="18"/>
      </w:rPr>
      <w:t>会计师事务所有限公司</w:t>
    </w:r>
    <w:r w:rsidR="001145CC">
      <w:rPr>
        <w:rFonts w:hint="eastAsia"/>
        <w:sz w:val="18"/>
      </w:rPr>
      <w:t xml:space="preserve">                                 </w:t>
    </w:r>
    <w:r w:rsidR="001145CC">
      <w:rPr>
        <w:rFonts w:hint="eastAsia"/>
        <w:sz w:val="18"/>
      </w:rPr>
      <w:t xml:space="preserve">             </w:t>
    </w:r>
    <w:r w:rsidR="001145CC">
      <w:rPr>
        <w:rFonts w:hint="eastAsia"/>
        <w:sz w:val="18"/>
      </w:rPr>
      <w:t>电话：</w:t>
    </w:r>
    <w:r w:rsidR="001145CC">
      <w:rPr>
        <w:rFonts w:hint="eastAsia"/>
        <w:sz w:val="18"/>
      </w:rPr>
      <w:t>0355-2046252</w:t>
    </w:r>
  </w:p>
  <w:p w:rsidR="00F55CEE" w:rsidRDefault="00F55CE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F55CEE">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F81" w:rsidRDefault="00DC5F81">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1145CC">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F55CEE" w:rsidRDefault="00F55CEE">
    <w:pPr>
      <w:pStyle w:val="a6"/>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1145CC">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F55CEE" w:rsidRDefault="00F55CEE">
    <w:pPr>
      <w:pStyle w:val="a6"/>
    </w:pPr>
  </w:p>
  <w:p w:rsidR="00F55CEE" w:rsidRDefault="00F55CEE">
    <w:pPr>
      <w:pStyle w:val="a6"/>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1145CC">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w:t>
    </w:r>
    <w:r>
      <w:rPr>
        <w:rFonts w:hint="eastAsia"/>
        <w:sz w:val="18"/>
      </w:rPr>
      <w:t>-2046252</w:t>
    </w:r>
  </w:p>
  <w:p w:rsidR="00F55CEE" w:rsidRDefault="00F55CEE">
    <w:pPr>
      <w:pStyle w:val="a6"/>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1145CC">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F55CEE" w:rsidRDefault="00F55CEE">
    <w:pPr>
      <w:pStyle w:val="a6"/>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F55CEE">
    <w:pPr>
      <w:pBdr>
        <w:top w:val="single" w:sz="4" w:space="0" w:color="auto"/>
      </w:pBdr>
      <w:rPr>
        <w:sz w:val="18"/>
        <w:szCs w:val="18"/>
      </w:rPr>
    </w:pPr>
    <w:r w:rsidRPr="00F55CEE">
      <w:rPr>
        <w:sz w:val="18"/>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Cz2t9IBAACj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i1pMQygxM/P/04//x9/vWd&#10;LJM+vYca0x48Jsbhoxtwa+Z7wMtEe5DBpC8SIhhHdU8XdcUQCU+PVtVqVWKIY2x2EL94fu4DxE/C&#10;GZKMhgYcX1aVHb9AHFPnlFTNululdR6htqRv6PVVdZUfXCIIri3WSCTGZpMVh90wMdu59oTEelyB&#10;hlrceEr0Z4sKp22ZjTAbu9k4+KD2XV6n1An4D4eI3eQmU4URdiqMs8s0pz1Ly/G3n7Oe/63N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BALPa30gEAAKMDAAAOAAAAAAAAAAEAIAAAAB4BAABk&#10;cnMvZTJvRG9jLnhtbFBLBQYAAAAABgAGAFkBAABiBQAAAAA=&#10;" filled="f" stroked="f">
          <v:textbox style="mso-fit-shape-to-text:t" inset="0,0,0,0">
            <w:txbxContent>
              <w:p w:rsidR="00F55CEE" w:rsidRDefault="00F55CEE">
                <w:pPr>
                  <w:snapToGrid w:val="0"/>
                  <w:rPr>
                    <w:sz w:val="18"/>
                  </w:rPr>
                </w:pPr>
                <w:r>
                  <w:rPr>
                    <w:rFonts w:hint="eastAsia"/>
                    <w:sz w:val="18"/>
                  </w:rPr>
                  <w:fldChar w:fldCharType="begin"/>
                </w:r>
                <w:r w:rsidR="001145CC">
                  <w:rPr>
                    <w:rFonts w:hint="eastAsia"/>
                    <w:sz w:val="18"/>
                  </w:rPr>
                  <w:instrText xml:space="preserve"> PAGE  \* MERGEFORMAT </w:instrText>
                </w:r>
                <w:r>
                  <w:rPr>
                    <w:rFonts w:hint="eastAsia"/>
                    <w:sz w:val="18"/>
                  </w:rPr>
                  <w:fldChar w:fldCharType="separate"/>
                </w:r>
                <w:r w:rsidR="001145CC">
                  <w:rPr>
                    <w:sz w:val="18"/>
                  </w:rPr>
                  <w:t>2</w:t>
                </w:r>
                <w:r>
                  <w:rPr>
                    <w:rFonts w:hint="eastAsia"/>
                    <w:sz w:val="18"/>
                  </w:rPr>
                  <w:fldChar w:fldCharType="end"/>
                </w:r>
              </w:p>
            </w:txbxContent>
          </v:textbox>
          <w10:wrap anchorx="margin"/>
        </v:shape>
      </w:pict>
    </w:r>
    <w:r w:rsidR="001145CC">
      <w:rPr>
        <w:rFonts w:hint="eastAsia"/>
        <w:sz w:val="18"/>
      </w:rPr>
      <w:t>长治</w:t>
    </w:r>
    <w:r w:rsidR="001145CC">
      <w:rPr>
        <w:rFonts w:hint="eastAsia"/>
        <w:sz w:val="18"/>
      </w:rPr>
      <w:t>**</w:t>
    </w:r>
    <w:r w:rsidR="001145CC">
      <w:rPr>
        <w:rFonts w:hint="eastAsia"/>
        <w:sz w:val="18"/>
      </w:rPr>
      <w:t>会计师事务所有限公司</w:t>
    </w:r>
    <w:r w:rsidR="001145CC">
      <w:rPr>
        <w:rFonts w:hint="eastAsia"/>
        <w:sz w:val="18"/>
      </w:rPr>
      <w:t xml:space="preserve">                                              </w:t>
    </w:r>
    <w:r w:rsidR="001145CC">
      <w:rPr>
        <w:rFonts w:hint="eastAsia"/>
        <w:sz w:val="18"/>
      </w:rPr>
      <w:t>电话：</w:t>
    </w:r>
    <w:r w:rsidR="001145CC">
      <w:rPr>
        <w:rFonts w:hint="eastAsia"/>
        <w:sz w:val="18"/>
      </w:rPr>
      <w:t>0355-2046252</w:t>
    </w:r>
  </w:p>
  <w:p w:rsidR="00F55CEE" w:rsidRDefault="001145CC">
    <w:pPr>
      <w:pStyle w:val="a6"/>
      <w:tabs>
        <w:tab w:val="clear" w:pos="4153"/>
        <w:tab w:val="left" w:pos="2908"/>
      </w:tabs>
    </w:pPr>
    <w:r>
      <w:rPr>
        <w:rFonts w:hint="eastAsia"/>
      </w:rPr>
      <w:tab/>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F55CEE">
    <w:pPr>
      <w:pBdr>
        <w:top w:val="single" w:sz="4" w:space="0" w:color="auto"/>
      </w:pBdr>
      <w:rPr>
        <w:sz w:val="18"/>
        <w:szCs w:val="18"/>
      </w:rPr>
    </w:pPr>
    <w:r w:rsidRPr="00F55CEE">
      <w:rPr>
        <w:sz w:val="18"/>
      </w:rP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Nu19AHRAQAAogMAAA4AAAAAAAAAAQAgAAAAHgEAAGRy&#10;cy9lMm9Eb2MueG1sUEsFBgAAAAAGAAYAWQEAAGEFAAAAAA==&#10;" filled="f" stroked="f">
          <v:textbox style="mso-fit-shape-to-text:t" inset="0,0,0,0">
            <w:txbxContent>
              <w:p w:rsidR="00F55CEE" w:rsidRDefault="00F55CEE">
                <w:pPr>
                  <w:snapToGrid w:val="0"/>
                  <w:rPr>
                    <w:sz w:val="18"/>
                  </w:rPr>
                </w:pPr>
                <w:r>
                  <w:rPr>
                    <w:rFonts w:hint="eastAsia"/>
                    <w:sz w:val="18"/>
                  </w:rPr>
                  <w:fldChar w:fldCharType="begin"/>
                </w:r>
                <w:r w:rsidR="001145CC">
                  <w:rPr>
                    <w:rFonts w:hint="eastAsia"/>
                    <w:sz w:val="18"/>
                  </w:rPr>
                  <w:instrText xml:space="preserve"> PAGE  \* MERGEFORMAT </w:instrText>
                </w:r>
                <w:r>
                  <w:rPr>
                    <w:rFonts w:hint="eastAsia"/>
                    <w:sz w:val="18"/>
                  </w:rPr>
                  <w:fldChar w:fldCharType="separate"/>
                </w:r>
                <w:r w:rsidR="00DC5F81">
                  <w:rPr>
                    <w:noProof/>
                    <w:sz w:val="18"/>
                  </w:rPr>
                  <w:t>- 32 -</w:t>
                </w:r>
                <w:r>
                  <w:rPr>
                    <w:rFonts w:hint="eastAsia"/>
                    <w:sz w:val="18"/>
                  </w:rPr>
                  <w:fldChar w:fldCharType="end"/>
                </w:r>
              </w:p>
            </w:txbxContent>
          </v:textbox>
          <w10:wrap anchorx="margin"/>
        </v:shape>
      </w:pict>
    </w:r>
    <w:r w:rsidR="001145CC">
      <w:rPr>
        <w:rFonts w:hint="eastAsia"/>
        <w:sz w:val="18"/>
      </w:rPr>
      <w:t>长治</w:t>
    </w:r>
    <w:r w:rsidR="001145CC">
      <w:rPr>
        <w:rFonts w:hint="eastAsia"/>
        <w:sz w:val="18"/>
      </w:rPr>
      <w:t>**</w:t>
    </w:r>
    <w:r w:rsidR="001145CC">
      <w:rPr>
        <w:rFonts w:hint="eastAsia"/>
        <w:sz w:val="18"/>
      </w:rPr>
      <w:t>会计师事务所有限公司</w:t>
    </w:r>
    <w:r w:rsidR="001145CC">
      <w:rPr>
        <w:rFonts w:hint="eastAsia"/>
        <w:sz w:val="18"/>
      </w:rPr>
      <w:t xml:space="preserve">                                              </w:t>
    </w:r>
    <w:r w:rsidR="001145CC">
      <w:rPr>
        <w:rFonts w:hint="eastAsia"/>
        <w:sz w:val="18"/>
      </w:rPr>
      <w:t>电话：</w:t>
    </w:r>
    <w:r w:rsidR="001145CC">
      <w:rPr>
        <w:rFonts w:hint="eastAsia"/>
        <w:sz w:val="18"/>
      </w:rPr>
      <w:t>0355-2046252</w:t>
    </w:r>
  </w:p>
  <w:p w:rsidR="00F55CEE" w:rsidRDefault="00F55CE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5CC" w:rsidRDefault="001145CC" w:rsidP="00F55CEE">
      <w:r>
        <w:separator/>
      </w:r>
    </w:p>
  </w:footnote>
  <w:footnote w:type="continuationSeparator" w:id="1">
    <w:p w:rsidR="001145CC" w:rsidRDefault="001145CC" w:rsidP="00F55C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F81" w:rsidRDefault="00DC5F81">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F55CEE">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F55CEE">
    <w:pPr>
      <w:pStyle w:val="a7"/>
      <w:pBdr>
        <w:bottom w:val="none" w:sz="0" w:space="0" w:color="auto"/>
      </w:pBdr>
      <w:rPr>
        <w:rFonts w:ascii="楷体_GB2312" w:eastAsia="楷体_GB2312" w:hAnsi="楷体_GB2312" w:cs="楷体_GB2312"/>
        <w:sz w:val="30"/>
        <w:szCs w:val="3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F55CEE">
    <w:pPr>
      <w:pStyle w:val="a7"/>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1145CC">
    <w:pPr>
      <w:pStyle w:val="a7"/>
      <w:pBdr>
        <w:bottom w:val="single" w:sz="4" w:space="1" w:color="auto"/>
      </w:pBdr>
    </w:pPr>
    <w:r>
      <w:rPr>
        <w:rFonts w:hint="eastAsia"/>
      </w:rPr>
      <w:t xml:space="preserve">                                                                              </w:t>
    </w:r>
    <w:r>
      <w:rPr>
        <w:rFonts w:hint="eastAsia"/>
      </w:rPr>
      <w:t>绩效评价报告</w:t>
    </w:r>
  </w:p>
  <w:p w:rsidR="00F55CEE" w:rsidRDefault="00F55CEE">
    <w:pPr>
      <w:pStyle w:val="a7"/>
    </w:pPr>
  </w:p>
  <w:p w:rsidR="00F55CEE" w:rsidRDefault="00F55CEE">
    <w:pPr>
      <w:pStyle w:val="a7"/>
      <w:tabs>
        <w:tab w:val="clear" w:pos="4153"/>
        <w:tab w:val="left" w:pos="211"/>
        <w:tab w:val="left" w:pos="6911"/>
      </w:tabs>
      <w:jc w:val="lef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1145CC">
    <w:pPr>
      <w:pStyle w:val="a7"/>
      <w:pBdr>
        <w:bottom w:val="single" w:sz="4" w:space="1" w:color="auto"/>
      </w:pBdr>
    </w:pPr>
    <w:r>
      <w:rPr>
        <w:rFonts w:hint="eastAsia"/>
      </w:rPr>
      <w:t xml:space="preserve">                                                                               </w:t>
    </w:r>
    <w:r>
      <w:rPr>
        <w:rFonts w:hint="eastAsia"/>
      </w:rPr>
      <w:t>绩效评价报告</w:t>
    </w:r>
  </w:p>
  <w:p w:rsidR="00F55CEE" w:rsidRDefault="00F55CEE">
    <w:pPr>
      <w:pStyle w:val="a7"/>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1145CC">
    <w:pPr>
      <w:pStyle w:val="a7"/>
      <w:pBdr>
        <w:bottom w:val="single" w:sz="4" w:space="1" w:color="auto"/>
      </w:pBdr>
      <w:tabs>
        <w:tab w:val="clear" w:pos="4153"/>
        <w:tab w:val="left" w:pos="211"/>
        <w:tab w:val="left" w:pos="6911"/>
      </w:tabs>
      <w:jc w:val="left"/>
    </w:pPr>
    <w:r>
      <w:rPr>
        <w:rFonts w:hint="eastAsia"/>
        <w:noProof/>
      </w:rPr>
      <w:drawing>
        <wp:inline distT="0" distB="0" distL="114300" distR="114300">
          <wp:extent cx="1261745" cy="247015"/>
          <wp:effectExtent l="0" t="0" r="3175" b="12065"/>
          <wp:docPr id="7" name="图片 7" descr="QQ图片2018020608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QQ图片20180206081823"/>
                  <pic:cNvPicPr>
                    <a:picLocks noChangeAspect="1"/>
                  </pic:cNvPicPr>
                </pic:nvPicPr>
                <pic:blipFill>
                  <a:blip r:embed="rId1"/>
                  <a:stretch>
                    <a:fillRect/>
                  </a:stretch>
                </pic:blipFill>
                <pic:spPr>
                  <a:xfrm>
                    <a:off x="0" y="0"/>
                    <a:ext cx="1261745" cy="247015"/>
                  </a:xfrm>
                  <a:prstGeom prst="rect">
                    <a:avLst/>
                  </a:prstGeom>
                  <a:noFill/>
                  <a:ln w="9525">
                    <a:noFill/>
                  </a:ln>
                </pic:spPr>
              </pic:pic>
            </a:graphicData>
          </a:graphic>
        </wp:inline>
      </w:drawing>
    </w:r>
    <w:r>
      <w:rPr>
        <w:rFonts w:hint="eastAsia"/>
      </w:rPr>
      <w:t>绩效评价</w:t>
    </w:r>
    <w:r>
      <w:rPr>
        <w:rFonts w:hint="eastAsia"/>
      </w:rPr>
      <w:t>报告</w:t>
    </w:r>
    <w:r>
      <w:rPr>
        <w:rFonts w:hint="eastAsia"/>
      </w:rPr>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EE" w:rsidRDefault="001145CC">
    <w:pPr>
      <w:pStyle w:val="a7"/>
      <w:pBdr>
        <w:bottom w:val="single" w:sz="4" w:space="1" w:color="auto"/>
      </w:pBdr>
      <w:tabs>
        <w:tab w:val="clear" w:pos="4153"/>
        <w:tab w:val="left" w:pos="211"/>
        <w:tab w:val="left" w:pos="6911"/>
      </w:tabs>
      <w:jc w:val="left"/>
    </w:pPr>
    <w:r>
      <w:rPr>
        <w:rFonts w:hint="eastAsia"/>
        <w:noProof/>
      </w:rPr>
      <w:drawing>
        <wp:inline distT="0" distB="0" distL="114300" distR="114300">
          <wp:extent cx="1261745" cy="247015"/>
          <wp:effectExtent l="0" t="0" r="8255" b="6985"/>
          <wp:docPr id="1" name="图片 1" descr="QQ图片2018020608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180206081823"/>
                  <pic:cNvPicPr>
                    <a:picLocks noChangeAspect="1"/>
                  </pic:cNvPicPr>
                </pic:nvPicPr>
                <pic:blipFill>
                  <a:blip r:embed="rId1"/>
                  <a:stretch>
                    <a:fillRect/>
                  </a:stretch>
                </pic:blipFill>
                <pic:spPr>
                  <a:xfrm>
                    <a:off x="0" y="0"/>
                    <a:ext cx="1261745" cy="247015"/>
                  </a:xfrm>
                  <a:prstGeom prst="rect">
                    <a:avLst/>
                  </a:prstGeom>
                  <a:noFill/>
                  <a:ln w="9525">
                    <a:noFill/>
                  </a:ln>
                </pic:spPr>
              </pic:pic>
            </a:graphicData>
          </a:graphic>
        </wp:inline>
      </w:drawing>
    </w:r>
    <w:r>
      <w:rPr>
        <w:rFonts w:hint="eastAsia"/>
      </w:rPr>
      <w:t xml:space="preserve">                                                     </w:t>
    </w:r>
    <w:r>
      <w:rPr>
        <w:rFonts w:hint="eastAsia"/>
      </w:rPr>
      <w:t>绩效评价工作底稿</w:t>
    </w:r>
    <w:r>
      <w:rPr>
        <w:rFonts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0F1542"/>
    <w:multiLevelType w:val="singleLevel"/>
    <w:tmpl w:val="BF0F1542"/>
    <w:lvl w:ilvl="0">
      <w:start w:val="1"/>
      <w:numFmt w:val="decimal"/>
      <w:lvlText w:val="(%1)"/>
      <w:lvlJc w:val="left"/>
      <w:pPr>
        <w:ind w:left="425" w:hanging="425"/>
      </w:pPr>
      <w:rPr>
        <w:rFonts w:hint="default"/>
      </w:rPr>
    </w:lvl>
  </w:abstractNum>
  <w:abstractNum w:abstractNumId="1">
    <w:nsid w:val="C2F9EC78"/>
    <w:multiLevelType w:val="singleLevel"/>
    <w:tmpl w:val="C2F9EC78"/>
    <w:lvl w:ilvl="0">
      <w:start w:val="2"/>
      <w:numFmt w:val="chineseCounting"/>
      <w:suff w:val="nothing"/>
      <w:lvlText w:val="（%1）"/>
      <w:lvlJc w:val="left"/>
      <w:rPr>
        <w:rFonts w:hint="eastAsia"/>
      </w:rPr>
    </w:lvl>
  </w:abstractNum>
  <w:abstractNum w:abstractNumId="2">
    <w:nsid w:val="F2243C52"/>
    <w:multiLevelType w:val="singleLevel"/>
    <w:tmpl w:val="F2243C52"/>
    <w:lvl w:ilvl="0">
      <w:start w:val="1"/>
      <w:numFmt w:val="decimal"/>
      <w:lvlText w:val="%1."/>
      <w:lvlJc w:val="left"/>
      <w:pPr>
        <w:tabs>
          <w:tab w:val="left" w:pos="312"/>
        </w:tabs>
      </w:pPr>
    </w:lvl>
  </w:abstractNum>
  <w:abstractNum w:abstractNumId="3">
    <w:nsid w:val="15F5770C"/>
    <w:multiLevelType w:val="singleLevel"/>
    <w:tmpl w:val="15F5770C"/>
    <w:lvl w:ilvl="0">
      <w:start w:val="1"/>
      <w:numFmt w:val="decimal"/>
      <w:lvlText w:val="%1."/>
      <w:lvlJc w:val="left"/>
      <w:pPr>
        <w:tabs>
          <w:tab w:val="left" w:pos="312"/>
        </w:tabs>
      </w:pPr>
    </w:lvl>
  </w:abstractNum>
  <w:abstractNum w:abstractNumId="4">
    <w:nsid w:val="5A51DECB"/>
    <w:multiLevelType w:val="singleLevel"/>
    <w:tmpl w:val="5A51DECB"/>
    <w:lvl w:ilvl="0">
      <w:start w:val="1"/>
      <w:numFmt w:val="decimal"/>
      <w:suff w:val="nothing"/>
      <w:lvlText w:val="（%1）"/>
      <w:lvlJc w:val="left"/>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0"/>
  <w:drawingGridHorizontalSpacing w:val="105"/>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E26C25"/>
    <w:rsid w:val="00070605"/>
    <w:rsid w:val="001145CC"/>
    <w:rsid w:val="00131C5E"/>
    <w:rsid w:val="00134820"/>
    <w:rsid w:val="00164C98"/>
    <w:rsid w:val="00226169"/>
    <w:rsid w:val="002B1729"/>
    <w:rsid w:val="002D6E39"/>
    <w:rsid w:val="002F447D"/>
    <w:rsid w:val="003A056D"/>
    <w:rsid w:val="00664E81"/>
    <w:rsid w:val="006B58C5"/>
    <w:rsid w:val="006F7407"/>
    <w:rsid w:val="00734592"/>
    <w:rsid w:val="00743E32"/>
    <w:rsid w:val="007A79C8"/>
    <w:rsid w:val="007D0FB4"/>
    <w:rsid w:val="007D40EC"/>
    <w:rsid w:val="007D6B25"/>
    <w:rsid w:val="008E3F2F"/>
    <w:rsid w:val="009F5027"/>
    <w:rsid w:val="00AB177D"/>
    <w:rsid w:val="00B163AD"/>
    <w:rsid w:val="00B819A7"/>
    <w:rsid w:val="00C13889"/>
    <w:rsid w:val="00C872F7"/>
    <w:rsid w:val="00DC5F81"/>
    <w:rsid w:val="00E26C25"/>
    <w:rsid w:val="00E402BB"/>
    <w:rsid w:val="00F55CEE"/>
    <w:rsid w:val="00FB5CB3"/>
    <w:rsid w:val="00FC2147"/>
    <w:rsid w:val="013442E8"/>
    <w:rsid w:val="01891950"/>
    <w:rsid w:val="01B275E3"/>
    <w:rsid w:val="01B668A5"/>
    <w:rsid w:val="01B83D3F"/>
    <w:rsid w:val="01CC6443"/>
    <w:rsid w:val="022A215B"/>
    <w:rsid w:val="02463369"/>
    <w:rsid w:val="02AE08FF"/>
    <w:rsid w:val="02B5393F"/>
    <w:rsid w:val="02B6723D"/>
    <w:rsid w:val="02DD7A27"/>
    <w:rsid w:val="031355B4"/>
    <w:rsid w:val="031C3C72"/>
    <w:rsid w:val="03395B3C"/>
    <w:rsid w:val="033E01AF"/>
    <w:rsid w:val="03417019"/>
    <w:rsid w:val="03651ED1"/>
    <w:rsid w:val="03C25CAB"/>
    <w:rsid w:val="03CF3305"/>
    <w:rsid w:val="03DD1D9B"/>
    <w:rsid w:val="03EA6387"/>
    <w:rsid w:val="03F32196"/>
    <w:rsid w:val="03F94ADD"/>
    <w:rsid w:val="04040093"/>
    <w:rsid w:val="040F5E12"/>
    <w:rsid w:val="04136F07"/>
    <w:rsid w:val="04250BC2"/>
    <w:rsid w:val="048253ED"/>
    <w:rsid w:val="04C71997"/>
    <w:rsid w:val="051122BE"/>
    <w:rsid w:val="05595DF2"/>
    <w:rsid w:val="05596916"/>
    <w:rsid w:val="05853EB2"/>
    <w:rsid w:val="058B1EAF"/>
    <w:rsid w:val="05B253C8"/>
    <w:rsid w:val="05F77E81"/>
    <w:rsid w:val="060319A0"/>
    <w:rsid w:val="061F6126"/>
    <w:rsid w:val="062539DC"/>
    <w:rsid w:val="06737982"/>
    <w:rsid w:val="068670F3"/>
    <w:rsid w:val="069378DA"/>
    <w:rsid w:val="069870F8"/>
    <w:rsid w:val="06C63198"/>
    <w:rsid w:val="06D40485"/>
    <w:rsid w:val="06F04EF0"/>
    <w:rsid w:val="070E299E"/>
    <w:rsid w:val="074B4166"/>
    <w:rsid w:val="07787691"/>
    <w:rsid w:val="07BA1473"/>
    <w:rsid w:val="07F5279E"/>
    <w:rsid w:val="07FD01E2"/>
    <w:rsid w:val="082A46E3"/>
    <w:rsid w:val="08555F7F"/>
    <w:rsid w:val="086E1B98"/>
    <w:rsid w:val="08A52200"/>
    <w:rsid w:val="08C43CB0"/>
    <w:rsid w:val="08FB4539"/>
    <w:rsid w:val="0910190B"/>
    <w:rsid w:val="091B52E5"/>
    <w:rsid w:val="092B38EF"/>
    <w:rsid w:val="0971133F"/>
    <w:rsid w:val="09897081"/>
    <w:rsid w:val="099E435E"/>
    <w:rsid w:val="09B82BBD"/>
    <w:rsid w:val="09BF531E"/>
    <w:rsid w:val="09C15DA5"/>
    <w:rsid w:val="09C415F1"/>
    <w:rsid w:val="0A1533E3"/>
    <w:rsid w:val="0A1E6230"/>
    <w:rsid w:val="0A7403B3"/>
    <w:rsid w:val="0A951D31"/>
    <w:rsid w:val="0AC337D1"/>
    <w:rsid w:val="0B16606A"/>
    <w:rsid w:val="0B3D14FD"/>
    <w:rsid w:val="0B4A32D6"/>
    <w:rsid w:val="0B6818B2"/>
    <w:rsid w:val="0B735721"/>
    <w:rsid w:val="0B8E194C"/>
    <w:rsid w:val="0BA60F47"/>
    <w:rsid w:val="0C061FEA"/>
    <w:rsid w:val="0C0867A8"/>
    <w:rsid w:val="0C145853"/>
    <w:rsid w:val="0C434235"/>
    <w:rsid w:val="0C56055F"/>
    <w:rsid w:val="0C5839C2"/>
    <w:rsid w:val="0C793715"/>
    <w:rsid w:val="0C7C27B1"/>
    <w:rsid w:val="0CA308C0"/>
    <w:rsid w:val="0CA92194"/>
    <w:rsid w:val="0CD45975"/>
    <w:rsid w:val="0D220436"/>
    <w:rsid w:val="0D35568D"/>
    <w:rsid w:val="0D595C45"/>
    <w:rsid w:val="0D6922B0"/>
    <w:rsid w:val="0DB05674"/>
    <w:rsid w:val="0DD43656"/>
    <w:rsid w:val="0E420821"/>
    <w:rsid w:val="0E4F2416"/>
    <w:rsid w:val="0E5C6FE4"/>
    <w:rsid w:val="0E5D7F79"/>
    <w:rsid w:val="0EA57040"/>
    <w:rsid w:val="0EAF56D7"/>
    <w:rsid w:val="0ED02C25"/>
    <w:rsid w:val="0EEE6EF7"/>
    <w:rsid w:val="0F5B54DB"/>
    <w:rsid w:val="0FB068F8"/>
    <w:rsid w:val="0FB8375C"/>
    <w:rsid w:val="0FD86B70"/>
    <w:rsid w:val="0FF576FC"/>
    <w:rsid w:val="10282D60"/>
    <w:rsid w:val="106979C6"/>
    <w:rsid w:val="10702D7D"/>
    <w:rsid w:val="108D6641"/>
    <w:rsid w:val="10BF4D15"/>
    <w:rsid w:val="10C27976"/>
    <w:rsid w:val="10C5251E"/>
    <w:rsid w:val="10C61F9B"/>
    <w:rsid w:val="10D552B6"/>
    <w:rsid w:val="11051992"/>
    <w:rsid w:val="11070816"/>
    <w:rsid w:val="1109602F"/>
    <w:rsid w:val="110C4D84"/>
    <w:rsid w:val="111206FB"/>
    <w:rsid w:val="111E464B"/>
    <w:rsid w:val="11612850"/>
    <w:rsid w:val="11731180"/>
    <w:rsid w:val="11940448"/>
    <w:rsid w:val="11A80621"/>
    <w:rsid w:val="11C23DFC"/>
    <w:rsid w:val="11D678A2"/>
    <w:rsid w:val="11E670A7"/>
    <w:rsid w:val="11F610F3"/>
    <w:rsid w:val="11FB52B8"/>
    <w:rsid w:val="11FD1ED6"/>
    <w:rsid w:val="12090864"/>
    <w:rsid w:val="120F33C5"/>
    <w:rsid w:val="12592C97"/>
    <w:rsid w:val="12A53E92"/>
    <w:rsid w:val="12F65293"/>
    <w:rsid w:val="13620C4C"/>
    <w:rsid w:val="136D0401"/>
    <w:rsid w:val="1393487C"/>
    <w:rsid w:val="13A84D14"/>
    <w:rsid w:val="13C856B9"/>
    <w:rsid w:val="13CF4391"/>
    <w:rsid w:val="13E1392D"/>
    <w:rsid w:val="13E23268"/>
    <w:rsid w:val="14AE5C47"/>
    <w:rsid w:val="14BF030F"/>
    <w:rsid w:val="152A552F"/>
    <w:rsid w:val="15456B0D"/>
    <w:rsid w:val="15713F8C"/>
    <w:rsid w:val="15E50634"/>
    <w:rsid w:val="160858A7"/>
    <w:rsid w:val="161E7A29"/>
    <w:rsid w:val="1623376D"/>
    <w:rsid w:val="16475E38"/>
    <w:rsid w:val="16730484"/>
    <w:rsid w:val="1677230C"/>
    <w:rsid w:val="168862FE"/>
    <w:rsid w:val="16CB7A76"/>
    <w:rsid w:val="16EB7CF3"/>
    <w:rsid w:val="17103ACD"/>
    <w:rsid w:val="1742244D"/>
    <w:rsid w:val="17883F7C"/>
    <w:rsid w:val="179C4D25"/>
    <w:rsid w:val="17A033A8"/>
    <w:rsid w:val="17A32B4E"/>
    <w:rsid w:val="17A76A61"/>
    <w:rsid w:val="17EB01B5"/>
    <w:rsid w:val="18077C62"/>
    <w:rsid w:val="18145192"/>
    <w:rsid w:val="1834429F"/>
    <w:rsid w:val="18555235"/>
    <w:rsid w:val="18562636"/>
    <w:rsid w:val="186B1350"/>
    <w:rsid w:val="1890531C"/>
    <w:rsid w:val="18981339"/>
    <w:rsid w:val="18E640DA"/>
    <w:rsid w:val="18EC588B"/>
    <w:rsid w:val="18FE3DD2"/>
    <w:rsid w:val="19124596"/>
    <w:rsid w:val="1915483C"/>
    <w:rsid w:val="19AE53CA"/>
    <w:rsid w:val="19BA5E0E"/>
    <w:rsid w:val="19EA2FB4"/>
    <w:rsid w:val="1A033C4C"/>
    <w:rsid w:val="1A18352F"/>
    <w:rsid w:val="1A201B48"/>
    <w:rsid w:val="1A20410C"/>
    <w:rsid w:val="1A6B6E7B"/>
    <w:rsid w:val="1A6E0D0B"/>
    <w:rsid w:val="1A745773"/>
    <w:rsid w:val="1AD22AC1"/>
    <w:rsid w:val="1AD627C2"/>
    <w:rsid w:val="1B632588"/>
    <w:rsid w:val="1BD315AD"/>
    <w:rsid w:val="1BE84771"/>
    <w:rsid w:val="1BFC0F76"/>
    <w:rsid w:val="1C013963"/>
    <w:rsid w:val="1C061946"/>
    <w:rsid w:val="1C240AB7"/>
    <w:rsid w:val="1C2B3EEE"/>
    <w:rsid w:val="1C4A39BF"/>
    <w:rsid w:val="1C8F1F56"/>
    <w:rsid w:val="1CD029C7"/>
    <w:rsid w:val="1CEA53E0"/>
    <w:rsid w:val="1D045CCC"/>
    <w:rsid w:val="1D2E6826"/>
    <w:rsid w:val="1D47551F"/>
    <w:rsid w:val="1D476FFD"/>
    <w:rsid w:val="1D59067A"/>
    <w:rsid w:val="1D9D17D4"/>
    <w:rsid w:val="1DC83383"/>
    <w:rsid w:val="1E100EB0"/>
    <w:rsid w:val="1E1165CE"/>
    <w:rsid w:val="1E403B73"/>
    <w:rsid w:val="1E6D1A36"/>
    <w:rsid w:val="1EA76EC0"/>
    <w:rsid w:val="1EF46A1B"/>
    <w:rsid w:val="1EFE6C0A"/>
    <w:rsid w:val="1F157B8D"/>
    <w:rsid w:val="1F165A88"/>
    <w:rsid w:val="1F8E7173"/>
    <w:rsid w:val="1FAC7C03"/>
    <w:rsid w:val="1FE97466"/>
    <w:rsid w:val="1FED59CF"/>
    <w:rsid w:val="1FF16D9D"/>
    <w:rsid w:val="20011686"/>
    <w:rsid w:val="20015A3F"/>
    <w:rsid w:val="20051FF5"/>
    <w:rsid w:val="20145BEE"/>
    <w:rsid w:val="204059B5"/>
    <w:rsid w:val="208222FD"/>
    <w:rsid w:val="209C3646"/>
    <w:rsid w:val="20AB0844"/>
    <w:rsid w:val="20AB3D3D"/>
    <w:rsid w:val="20EA3617"/>
    <w:rsid w:val="217B2561"/>
    <w:rsid w:val="217E67AA"/>
    <w:rsid w:val="21884398"/>
    <w:rsid w:val="21C328EB"/>
    <w:rsid w:val="21E35B1B"/>
    <w:rsid w:val="21E3768A"/>
    <w:rsid w:val="21EC4F3B"/>
    <w:rsid w:val="21F32A28"/>
    <w:rsid w:val="21FC2253"/>
    <w:rsid w:val="222F0D3B"/>
    <w:rsid w:val="22596D36"/>
    <w:rsid w:val="226E0395"/>
    <w:rsid w:val="228C2799"/>
    <w:rsid w:val="229F5B6A"/>
    <w:rsid w:val="22EF0C57"/>
    <w:rsid w:val="22EF0DCC"/>
    <w:rsid w:val="232A22E4"/>
    <w:rsid w:val="232B4BD5"/>
    <w:rsid w:val="23352B16"/>
    <w:rsid w:val="234F5B74"/>
    <w:rsid w:val="235F07AE"/>
    <w:rsid w:val="237A199F"/>
    <w:rsid w:val="2385725C"/>
    <w:rsid w:val="23975150"/>
    <w:rsid w:val="23CB4FF7"/>
    <w:rsid w:val="23CD05E4"/>
    <w:rsid w:val="23CD0D7B"/>
    <w:rsid w:val="23DC36C8"/>
    <w:rsid w:val="23E61415"/>
    <w:rsid w:val="23EB5C1E"/>
    <w:rsid w:val="23EE4456"/>
    <w:rsid w:val="23F82E14"/>
    <w:rsid w:val="247B3D22"/>
    <w:rsid w:val="249D0294"/>
    <w:rsid w:val="24AB54D1"/>
    <w:rsid w:val="24DE39C8"/>
    <w:rsid w:val="25065679"/>
    <w:rsid w:val="251D786B"/>
    <w:rsid w:val="253030F4"/>
    <w:rsid w:val="25503F44"/>
    <w:rsid w:val="258A4294"/>
    <w:rsid w:val="258E0C79"/>
    <w:rsid w:val="25953183"/>
    <w:rsid w:val="25F40457"/>
    <w:rsid w:val="26B10E2D"/>
    <w:rsid w:val="26B7746E"/>
    <w:rsid w:val="26E26F0E"/>
    <w:rsid w:val="26EB2596"/>
    <w:rsid w:val="26EE09E7"/>
    <w:rsid w:val="27376380"/>
    <w:rsid w:val="274A33BC"/>
    <w:rsid w:val="27674C43"/>
    <w:rsid w:val="276E7D61"/>
    <w:rsid w:val="27881509"/>
    <w:rsid w:val="27891BEF"/>
    <w:rsid w:val="278D03DD"/>
    <w:rsid w:val="27953A46"/>
    <w:rsid w:val="27EA541C"/>
    <w:rsid w:val="27ED04F3"/>
    <w:rsid w:val="27F90629"/>
    <w:rsid w:val="282B7D16"/>
    <w:rsid w:val="2842019C"/>
    <w:rsid w:val="287554E7"/>
    <w:rsid w:val="287658C2"/>
    <w:rsid w:val="28A8131C"/>
    <w:rsid w:val="28AB172A"/>
    <w:rsid w:val="28D32F37"/>
    <w:rsid w:val="29203495"/>
    <w:rsid w:val="29232857"/>
    <w:rsid w:val="29712C8A"/>
    <w:rsid w:val="29777931"/>
    <w:rsid w:val="297D6933"/>
    <w:rsid w:val="29933B71"/>
    <w:rsid w:val="29DF7CDC"/>
    <w:rsid w:val="29EF6500"/>
    <w:rsid w:val="2A0D6CDD"/>
    <w:rsid w:val="2A126806"/>
    <w:rsid w:val="2A29124F"/>
    <w:rsid w:val="2A2A318F"/>
    <w:rsid w:val="2A31797C"/>
    <w:rsid w:val="2A352155"/>
    <w:rsid w:val="2A3C368C"/>
    <w:rsid w:val="2ACA4FAC"/>
    <w:rsid w:val="2AE949A1"/>
    <w:rsid w:val="2AFC3DE3"/>
    <w:rsid w:val="2B322567"/>
    <w:rsid w:val="2B5A0DBA"/>
    <w:rsid w:val="2B702BB7"/>
    <w:rsid w:val="2BC62A2A"/>
    <w:rsid w:val="2BFA53AD"/>
    <w:rsid w:val="2C017725"/>
    <w:rsid w:val="2C044C0A"/>
    <w:rsid w:val="2C3F09F0"/>
    <w:rsid w:val="2C53786C"/>
    <w:rsid w:val="2C9B6818"/>
    <w:rsid w:val="2CC61424"/>
    <w:rsid w:val="2CC83530"/>
    <w:rsid w:val="2CDF03A4"/>
    <w:rsid w:val="2CE11682"/>
    <w:rsid w:val="2CF42CD2"/>
    <w:rsid w:val="2D1872BA"/>
    <w:rsid w:val="2D3519AD"/>
    <w:rsid w:val="2D7A0438"/>
    <w:rsid w:val="2D876287"/>
    <w:rsid w:val="2D931903"/>
    <w:rsid w:val="2DA448F9"/>
    <w:rsid w:val="2DCF592E"/>
    <w:rsid w:val="2DE215C0"/>
    <w:rsid w:val="2E6021B3"/>
    <w:rsid w:val="2E9D764D"/>
    <w:rsid w:val="2EA12F92"/>
    <w:rsid w:val="2EA67325"/>
    <w:rsid w:val="2EB42885"/>
    <w:rsid w:val="2EC84F03"/>
    <w:rsid w:val="2ED335DD"/>
    <w:rsid w:val="2EFE1972"/>
    <w:rsid w:val="2F852443"/>
    <w:rsid w:val="2FA302EE"/>
    <w:rsid w:val="2FC625DA"/>
    <w:rsid w:val="2FC939E3"/>
    <w:rsid w:val="2FCC7F25"/>
    <w:rsid w:val="2FEB781B"/>
    <w:rsid w:val="302420CB"/>
    <w:rsid w:val="303E6A04"/>
    <w:rsid w:val="306E7AA3"/>
    <w:rsid w:val="30793071"/>
    <w:rsid w:val="308F038B"/>
    <w:rsid w:val="30980B56"/>
    <w:rsid w:val="30AC6B7C"/>
    <w:rsid w:val="30BC540B"/>
    <w:rsid w:val="30BC6472"/>
    <w:rsid w:val="30F0413B"/>
    <w:rsid w:val="30F81F07"/>
    <w:rsid w:val="313909B9"/>
    <w:rsid w:val="316F3949"/>
    <w:rsid w:val="317F1383"/>
    <w:rsid w:val="319C1CCF"/>
    <w:rsid w:val="31ED1961"/>
    <w:rsid w:val="320A1E6B"/>
    <w:rsid w:val="32460A73"/>
    <w:rsid w:val="32966D92"/>
    <w:rsid w:val="32A13F82"/>
    <w:rsid w:val="32A96389"/>
    <w:rsid w:val="32C31AAE"/>
    <w:rsid w:val="32DA1C29"/>
    <w:rsid w:val="32E42481"/>
    <w:rsid w:val="32F6746A"/>
    <w:rsid w:val="33334ACC"/>
    <w:rsid w:val="333B7722"/>
    <w:rsid w:val="333C1D24"/>
    <w:rsid w:val="333C1F0E"/>
    <w:rsid w:val="33905F5C"/>
    <w:rsid w:val="33974714"/>
    <w:rsid w:val="339A5D46"/>
    <w:rsid w:val="33CC6881"/>
    <w:rsid w:val="34157FCF"/>
    <w:rsid w:val="341D1828"/>
    <w:rsid w:val="347C0FD0"/>
    <w:rsid w:val="349A0947"/>
    <w:rsid w:val="352C6684"/>
    <w:rsid w:val="355A08A7"/>
    <w:rsid w:val="358861CB"/>
    <w:rsid w:val="35975CA9"/>
    <w:rsid w:val="359843C0"/>
    <w:rsid w:val="35A95570"/>
    <w:rsid w:val="35BA4CF3"/>
    <w:rsid w:val="35EA39E9"/>
    <w:rsid w:val="35EE2907"/>
    <w:rsid w:val="35F81A1E"/>
    <w:rsid w:val="363827D1"/>
    <w:rsid w:val="363D60F6"/>
    <w:rsid w:val="363E50A8"/>
    <w:rsid w:val="368374F2"/>
    <w:rsid w:val="369E327D"/>
    <w:rsid w:val="36A974E2"/>
    <w:rsid w:val="36DE0A2F"/>
    <w:rsid w:val="36F61209"/>
    <w:rsid w:val="36F94374"/>
    <w:rsid w:val="371C10D1"/>
    <w:rsid w:val="37441043"/>
    <w:rsid w:val="37754B5B"/>
    <w:rsid w:val="379A3DC9"/>
    <w:rsid w:val="37BA4F63"/>
    <w:rsid w:val="37BE4972"/>
    <w:rsid w:val="37F01756"/>
    <w:rsid w:val="38353C0C"/>
    <w:rsid w:val="385D1DF3"/>
    <w:rsid w:val="3860175E"/>
    <w:rsid w:val="387F60E4"/>
    <w:rsid w:val="38932A93"/>
    <w:rsid w:val="38B40537"/>
    <w:rsid w:val="38BE7B0C"/>
    <w:rsid w:val="38E038F8"/>
    <w:rsid w:val="38FC19A3"/>
    <w:rsid w:val="390D4348"/>
    <w:rsid w:val="391E4FEB"/>
    <w:rsid w:val="394969C4"/>
    <w:rsid w:val="39633107"/>
    <w:rsid w:val="39B260AF"/>
    <w:rsid w:val="39C75382"/>
    <w:rsid w:val="39DD3EE4"/>
    <w:rsid w:val="3A1111E6"/>
    <w:rsid w:val="3A343A57"/>
    <w:rsid w:val="3A5F3FA0"/>
    <w:rsid w:val="3A6631B2"/>
    <w:rsid w:val="3A6A1FCE"/>
    <w:rsid w:val="3A762520"/>
    <w:rsid w:val="3A8843A8"/>
    <w:rsid w:val="3AA52C30"/>
    <w:rsid w:val="3AAC3557"/>
    <w:rsid w:val="3AC91D21"/>
    <w:rsid w:val="3AE15599"/>
    <w:rsid w:val="3BA93EA5"/>
    <w:rsid w:val="3BD87B98"/>
    <w:rsid w:val="3BDE53E4"/>
    <w:rsid w:val="3C522DBE"/>
    <w:rsid w:val="3C5B67AC"/>
    <w:rsid w:val="3C815635"/>
    <w:rsid w:val="3C836D48"/>
    <w:rsid w:val="3CE1276F"/>
    <w:rsid w:val="3D030602"/>
    <w:rsid w:val="3D117F61"/>
    <w:rsid w:val="3D314E77"/>
    <w:rsid w:val="3D4E3E28"/>
    <w:rsid w:val="3E00703A"/>
    <w:rsid w:val="3E481C8C"/>
    <w:rsid w:val="3E5323E0"/>
    <w:rsid w:val="3E555DE1"/>
    <w:rsid w:val="3E5C5011"/>
    <w:rsid w:val="3E700357"/>
    <w:rsid w:val="3E752C5A"/>
    <w:rsid w:val="3E7C6D72"/>
    <w:rsid w:val="3E972D1E"/>
    <w:rsid w:val="3EA1667C"/>
    <w:rsid w:val="3EC85AFA"/>
    <w:rsid w:val="3EEF6A59"/>
    <w:rsid w:val="3EF247C4"/>
    <w:rsid w:val="3F003B54"/>
    <w:rsid w:val="3F1B720E"/>
    <w:rsid w:val="3F2E125E"/>
    <w:rsid w:val="3F3572E6"/>
    <w:rsid w:val="3F4A6D01"/>
    <w:rsid w:val="3F702752"/>
    <w:rsid w:val="3F911564"/>
    <w:rsid w:val="3FA46F0C"/>
    <w:rsid w:val="3FB42445"/>
    <w:rsid w:val="3FDB34E1"/>
    <w:rsid w:val="3FDE4F04"/>
    <w:rsid w:val="3FDF13D8"/>
    <w:rsid w:val="3FEC6005"/>
    <w:rsid w:val="40077E97"/>
    <w:rsid w:val="401D6A17"/>
    <w:rsid w:val="40333E35"/>
    <w:rsid w:val="404A1912"/>
    <w:rsid w:val="406D09EC"/>
    <w:rsid w:val="407B4678"/>
    <w:rsid w:val="40D31896"/>
    <w:rsid w:val="411F74B1"/>
    <w:rsid w:val="413A5460"/>
    <w:rsid w:val="417651EE"/>
    <w:rsid w:val="417B2974"/>
    <w:rsid w:val="419054AA"/>
    <w:rsid w:val="41AF386E"/>
    <w:rsid w:val="41BD55CD"/>
    <w:rsid w:val="41D14810"/>
    <w:rsid w:val="422F05E1"/>
    <w:rsid w:val="425426AF"/>
    <w:rsid w:val="42AB6C57"/>
    <w:rsid w:val="42AF5A9B"/>
    <w:rsid w:val="42C76B3E"/>
    <w:rsid w:val="42CC5BC6"/>
    <w:rsid w:val="42DE387E"/>
    <w:rsid w:val="432D179C"/>
    <w:rsid w:val="433456CB"/>
    <w:rsid w:val="433A09B6"/>
    <w:rsid w:val="4360149C"/>
    <w:rsid w:val="43757F56"/>
    <w:rsid w:val="439C5472"/>
    <w:rsid w:val="43A521DA"/>
    <w:rsid w:val="43E000E6"/>
    <w:rsid w:val="43E854FA"/>
    <w:rsid w:val="4432034C"/>
    <w:rsid w:val="444A5955"/>
    <w:rsid w:val="444C221F"/>
    <w:rsid w:val="44564163"/>
    <w:rsid w:val="446310DC"/>
    <w:rsid w:val="447B3E2B"/>
    <w:rsid w:val="448A18E5"/>
    <w:rsid w:val="449E4B53"/>
    <w:rsid w:val="449E730C"/>
    <w:rsid w:val="44CD7E4F"/>
    <w:rsid w:val="44DF4B27"/>
    <w:rsid w:val="44F9744D"/>
    <w:rsid w:val="451F36DD"/>
    <w:rsid w:val="452A67E9"/>
    <w:rsid w:val="45A17FDC"/>
    <w:rsid w:val="45A313A1"/>
    <w:rsid w:val="45BA1E7C"/>
    <w:rsid w:val="45E05185"/>
    <w:rsid w:val="460711A6"/>
    <w:rsid w:val="46277C00"/>
    <w:rsid w:val="46471598"/>
    <w:rsid w:val="4650044D"/>
    <w:rsid w:val="465C7261"/>
    <w:rsid w:val="46641FEF"/>
    <w:rsid w:val="469631EA"/>
    <w:rsid w:val="46A132E5"/>
    <w:rsid w:val="46D8078D"/>
    <w:rsid w:val="46DE66E3"/>
    <w:rsid w:val="474320FC"/>
    <w:rsid w:val="4768637B"/>
    <w:rsid w:val="47795D2A"/>
    <w:rsid w:val="47C33876"/>
    <w:rsid w:val="484C5FF3"/>
    <w:rsid w:val="48E12B6E"/>
    <w:rsid w:val="491236CA"/>
    <w:rsid w:val="491B11A2"/>
    <w:rsid w:val="49685E90"/>
    <w:rsid w:val="49C66C70"/>
    <w:rsid w:val="49DF1F07"/>
    <w:rsid w:val="49EA10B3"/>
    <w:rsid w:val="4A13204D"/>
    <w:rsid w:val="4A150DCA"/>
    <w:rsid w:val="4A167DD3"/>
    <w:rsid w:val="4A581D71"/>
    <w:rsid w:val="4AA62D60"/>
    <w:rsid w:val="4AAC5750"/>
    <w:rsid w:val="4AB3412F"/>
    <w:rsid w:val="4ACC6948"/>
    <w:rsid w:val="4ACF4E1B"/>
    <w:rsid w:val="4B011F5C"/>
    <w:rsid w:val="4B1472DA"/>
    <w:rsid w:val="4B206EB9"/>
    <w:rsid w:val="4B693D18"/>
    <w:rsid w:val="4B781CC1"/>
    <w:rsid w:val="4B7E4D99"/>
    <w:rsid w:val="4B823673"/>
    <w:rsid w:val="4B865CC8"/>
    <w:rsid w:val="4BA067B6"/>
    <w:rsid w:val="4BF85DB5"/>
    <w:rsid w:val="4C086B20"/>
    <w:rsid w:val="4C0A6ABE"/>
    <w:rsid w:val="4C1642BA"/>
    <w:rsid w:val="4C1E7D66"/>
    <w:rsid w:val="4C3E5807"/>
    <w:rsid w:val="4C630022"/>
    <w:rsid w:val="4C66786E"/>
    <w:rsid w:val="4C6C0F86"/>
    <w:rsid w:val="4C7C7AB7"/>
    <w:rsid w:val="4C9F2605"/>
    <w:rsid w:val="4CDA1555"/>
    <w:rsid w:val="4D1E7CCD"/>
    <w:rsid w:val="4D3605AB"/>
    <w:rsid w:val="4D5E3416"/>
    <w:rsid w:val="4D6275EA"/>
    <w:rsid w:val="4D696F75"/>
    <w:rsid w:val="4DB7253F"/>
    <w:rsid w:val="4DE83B9E"/>
    <w:rsid w:val="4DF437CC"/>
    <w:rsid w:val="4DFE4D58"/>
    <w:rsid w:val="4E0A5787"/>
    <w:rsid w:val="4E12162D"/>
    <w:rsid w:val="4E2A6ACD"/>
    <w:rsid w:val="4E463C4F"/>
    <w:rsid w:val="4E577D5C"/>
    <w:rsid w:val="4E6C4B66"/>
    <w:rsid w:val="4E7D369C"/>
    <w:rsid w:val="4E86641F"/>
    <w:rsid w:val="4E992279"/>
    <w:rsid w:val="4ECB67B1"/>
    <w:rsid w:val="4EF73B74"/>
    <w:rsid w:val="4F373B54"/>
    <w:rsid w:val="4F3A0C69"/>
    <w:rsid w:val="4F5A75CB"/>
    <w:rsid w:val="4FBA69EA"/>
    <w:rsid w:val="4FC571F0"/>
    <w:rsid w:val="4FD96EBC"/>
    <w:rsid w:val="4FDE2ECA"/>
    <w:rsid w:val="500524BD"/>
    <w:rsid w:val="50125CDA"/>
    <w:rsid w:val="506816F0"/>
    <w:rsid w:val="507800F0"/>
    <w:rsid w:val="50967267"/>
    <w:rsid w:val="50AB2E46"/>
    <w:rsid w:val="50B0262B"/>
    <w:rsid w:val="50B70CEE"/>
    <w:rsid w:val="51114EBD"/>
    <w:rsid w:val="511B1569"/>
    <w:rsid w:val="518C33AF"/>
    <w:rsid w:val="51CB5A25"/>
    <w:rsid w:val="51DA01E1"/>
    <w:rsid w:val="51DD64E2"/>
    <w:rsid w:val="51FA0916"/>
    <w:rsid w:val="523C440C"/>
    <w:rsid w:val="524A65D5"/>
    <w:rsid w:val="52555B6D"/>
    <w:rsid w:val="52687924"/>
    <w:rsid w:val="527E52EE"/>
    <w:rsid w:val="52A31658"/>
    <w:rsid w:val="52A63D03"/>
    <w:rsid w:val="52CE7AFA"/>
    <w:rsid w:val="52E26E44"/>
    <w:rsid w:val="530F423C"/>
    <w:rsid w:val="53961111"/>
    <w:rsid w:val="53EC6792"/>
    <w:rsid w:val="540426BA"/>
    <w:rsid w:val="543175E5"/>
    <w:rsid w:val="543A1BE4"/>
    <w:rsid w:val="544F23EA"/>
    <w:rsid w:val="545F79D4"/>
    <w:rsid w:val="547F2E0C"/>
    <w:rsid w:val="54855A01"/>
    <w:rsid w:val="549D7229"/>
    <w:rsid w:val="54D37EF9"/>
    <w:rsid w:val="553E6ECD"/>
    <w:rsid w:val="5566080E"/>
    <w:rsid w:val="559B79A4"/>
    <w:rsid w:val="55B5661C"/>
    <w:rsid w:val="55F07498"/>
    <w:rsid w:val="56034A95"/>
    <w:rsid w:val="565040F7"/>
    <w:rsid w:val="5653167E"/>
    <w:rsid w:val="567203F7"/>
    <w:rsid w:val="568452BB"/>
    <w:rsid w:val="568B7E2E"/>
    <w:rsid w:val="56B621D6"/>
    <w:rsid w:val="56EB42D4"/>
    <w:rsid w:val="570E6E5F"/>
    <w:rsid w:val="573151FC"/>
    <w:rsid w:val="575A7608"/>
    <w:rsid w:val="57F143CD"/>
    <w:rsid w:val="586356B4"/>
    <w:rsid w:val="58643D51"/>
    <w:rsid w:val="587D1136"/>
    <w:rsid w:val="58A425B5"/>
    <w:rsid w:val="58C40885"/>
    <w:rsid w:val="58F405FD"/>
    <w:rsid w:val="58FB02B0"/>
    <w:rsid w:val="590520B4"/>
    <w:rsid w:val="592F2EC4"/>
    <w:rsid w:val="597D46BD"/>
    <w:rsid w:val="5993064F"/>
    <w:rsid w:val="59CE0F01"/>
    <w:rsid w:val="5A191B4C"/>
    <w:rsid w:val="5A4A627B"/>
    <w:rsid w:val="5A74457E"/>
    <w:rsid w:val="5A7E5172"/>
    <w:rsid w:val="5A824EC7"/>
    <w:rsid w:val="5B20459C"/>
    <w:rsid w:val="5B3E52F6"/>
    <w:rsid w:val="5B7A1B52"/>
    <w:rsid w:val="5B871285"/>
    <w:rsid w:val="5BAD49E0"/>
    <w:rsid w:val="5BB84FAD"/>
    <w:rsid w:val="5BC30FD7"/>
    <w:rsid w:val="5BD76F3F"/>
    <w:rsid w:val="5BE26116"/>
    <w:rsid w:val="5BE943A6"/>
    <w:rsid w:val="5BEA5DB2"/>
    <w:rsid w:val="5C052703"/>
    <w:rsid w:val="5C231A20"/>
    <w:rsid w:val="5C2F35B0"/>
    <w:rsid w:val="5C344C79"/>
    <w:rsid w:val="5C776C63"/>
    <w:rsid w:val="5CD71874"/>
    <w:rsid w:val="5CDF045D"/>
    <w:rsid w:val="5CE428B1"/>
    <w:rsid w:val="5D4B7C76"/>
    <w:rsid w:val="5D507120"/>
    <w:rsid w:val="5D6A085A"/>
    <w:rsid w:val="5D7C08A5"/>
    <w:rsid w:val="5DB315C3"/>
    <w:rsid w:val="5DCA59DB"/>
    <w:rsid w:val="5DE01298"/>
    <w:rsid w:val="5E3F0998"/>
    <w:rsid w:val="5E516736"/>
    <w:rsid w:val="5E95345D"/>
    <w:rsid w:val="5E9E5893"/>
    <w:rsid w:val="5EDD71E0"/>
    <w:rsid w:val="5EE81BF6"/>
    <w:rsid w:val="5F02310B"/>
    <w:rsid w:val="5F0B69A3"/>
    <w:rsid w:val="5F553BCE"/>
    <w:rsid w:val="5F754EC5"/>
    <w:rsid w:val="5F8B4F05"/>
    <w:rsid w:val="5FA643AB"/>
    <w:rsid w:val="5FFC507D"/>
    <w:rsid w:val="601316BE"/>
    <w:rsid w:val="607017D6"/>
    <w:rsid w:val="60BA2406"/>
    <w:rsid w:val="60D068B5"/>
    <w:rsid w:val="60FF576C"/>
    <w:rsid w:val="60FF5AF6"/>
    <w:rsid w:val="6100656B"/>
    <w:rsid w:val="611A7FD1"/>
    <w:rsid w:val="614C6EDD"/>
    <w:rsid w:val="615C76E3"/>
    <w:rsid w:val="6197741D"/>
    <w:rsid w:val="61FD0FAD"/>
    <w:rsid w:val="62084334"/>
    <w:rsid w:val="62293DA0"/>
    <w:rsid w:val="623776B1"/>
    <w:rsid w:val="62400623"/>
    <w:rsid w:val="624A09A7"/>
    <w:rsid w:val="625E09B3"/>
    <w:rsid w:val="627B58EF"/>
    <w:rsid w:val="6290227C"/>
    <w:rsid w:val="629841CC"/>
    <w:rsid w:val="62B95856"/>
    <w:rsid w:val="62BC7115"/>
    <w:rsid w:val="62F87464"/>
    <w:rsid w:val="632140AA"/>
    <w:rsid w:val="6351768F"/>
    <w:rsid w:val="63831F80"/>
    <w:rsid w:val="63847423"/>
    <w:rsid w:val="63AF7F50"/>
    <w:rsid w:val="63E62900"/>
    <w:rsid w:val="64077719"/>
    <w:rsid w:val="64143496"/>
    <w:rsid w:val="644E05E6"/>
    <w:rsid w:val="6480387F"/>
    <w:rsid w:val="64ED328E"/>
    <w:rsid w:val="652F6E54"/>
    <w:rsid w:val="65863699"/>
    <w:rsid w:val="6589789D"/>
    <w:rsid w:val="65991C50"/>
    <w:rsid w:val="65C84F56"/>
    <w:rsid w:val="65CA7DF0"/>
    <w:rsid w:val="65FE760E"/>
    <w:rsid w:val="66057DA1"/>
    <w:rsid w:val="661B186B"/>
    <w:rsid w:val="66380C02"/>
    <w:rsid w:val="665027CC"/>
    <w:rsid w:val="665C4B8E"/>
    <w:rsid w:val="6667094C"/>
    <w:rsid w:val="666A5A3B"/>
    <w:rsid w:val="66843762"/>
    <w:rsid w:val="669A790A"/>
    <w:rsid w:val="672F7102"/>
    <w:rsid w:val="67360B87"/>
    <w:rsid w:val="676B7E06"/>
    <w:rsid w:val="67A5667A"/>
    <w:rsid w:val="67E53E9F"/>
    <w:rsid w:val="680A3C7E"/>
    <w:rsid w:val="68551C81"/>
    <w:rsid w:val="68EE628E"/>
    <w:rsid w:val="690A0B8A"/>
    <w:rsid w:val="69290DEC"/>
    <w:rsid w:val="69475DF4"/>
    <w:rsid w:val="69C07F73"/>
    <w:rsid w:val="69C3131E"/>
    <w:rsid w:val="69E72204"/>
    <w:rsid w:val="69FC241F"/>
    <w:rsid w:val="6A133789"/>
    <w:rsid w:val="6A155D24"/>
    <w:rsid w:val="6A771568"/>
    <w:rsid w:val="6A81237B"/>
    <w:rsid w:val="6A8A3284"/>
    <w:rsid w:val="6AA8051D"/>
    <w:rsid w:val="6ACE576B"/>
    <w:rsid w:val="6B07120E"/>
    <w:rsid w:val="6B0D6AF1"/>
    <w:rsid w:val="6B421F69"/>
    <w:rsid w:val="6B4F3CBE"/>
    <w:rsid w:val="6BA43170"/>
    <w:rsid w:val="6BC50264"/>
    <w:rsid w:val="6BD002E0"/>
    <w:rsid w:val="6C0F6219"/>
    <w:rsid w:val="6C5013A8"/>
    <w:rsid w:val="6C530108"/>
    <w:rsid w:val="6C6A3C01"/>
    <w:rsid w:val="6C735CA9"/>
    <w:rsid w:val="6C8661D6"/>
    <w:rsid w:val="6CC026F0"/>
    <w:rsid w:val="6CD72849"/>
    <w:rsid w:val="6D2A5A12"/>
    <w:rsid w:val="6D4F7734"/>
    <w:rsid w:val="6D72380A"/>
    <w:rsid w:val="6D767C26"/>
    <w:rsid w:val="6D797466"/>
    <w:rsid w:val="6D8624A5"/>
    <w:rsid w:val="6DA4056A"/>
    <w:rsid w:val="6DB54C17"/>
    <w:rsid w:val="6DD11565"/>
    <w:rsid w:val="6DE47DA4"/>
    <w:rsid w:val="6E0B3FCD"/>
    <w:rsid w:val="6E114817"/>
    <w:rsid w:val="6E260B8B"/>
    <w:rsid w:val="6E401C63"/>
    <w:rsid w:val="6E873A45"/>
    <w:rsid w:val="6E911ABD"/>
    <w:rsid w:val="6EB02850"/>
    <w:rsid w:val="6EB24AC6"/>
    <w:rsid w:val="6EE400E8"/>
    <w:rsid w:val="6F28352E"/>
    <w:rsid w:val="6F450D43"/>
    <w:rsid w:val="6F62362F"/>
    <w:rsid w:val="6F6707A3"/>
    <w:rsid w:val="6F9D6382"/>
    <w:rsid w:val="6FB80FF6"/>
    <w:rsid w:val="6FF41764"/>
    <w:rsid w:val="701E1218"/>
    <w:rsid w:val="70457E01"/>
    <w:rsid w:val="704D1CB7"/>
    <w:rsid w:val="705736E1"/>
    <w:rsid w:val="70847ACD"/>
    <w:rsid w:val="70906DC1"/>
    <w:rsid w:val="70D56447"/>
    <w:rsid w:val="71036A11"/>
    <w:rsid w:val="719B72FC"/>
    <w:rsid w:val="71E30ECA"/>
    <w:rsid w:val="720530A5"/>
    <w:rsid w:val="72157311"/>
    <w:rsid w:val="721C4413"/>
    <w:rsid w:val="72242039"/>
    <w:rsid w:val="7256192B"/>
    <w:rsid w:val="725A2479"/>
    <w:rsid w:val="725C17F1"/>
    <w:rsid w:val="727E0A9E"/>
    <w:rsid w:val="729955A2"/>
    <w:rsid w:val="72FC1552"/>
    <w:rsid w:val="731E1C4D"/>
    <w:rsid w:val="73256D37"/>
    <w:rsid w:val="736F3DF8"/>
    <w:rsid w:val="73C875E3"/>
    <w:rsid w:val="73DC188A"/>
    <w:rsid w:val="73F126FB"/>
    <w:rsid w:val="742519E5"/>
    <w:rsid w:val="74370EF1"/>
    <w:rsid w:val="745A4193"/>
    <w:rsid w:val="749853F7"/>
    <w:rsid w:val="74BC0BA0"/>
    <w:rsid w:val="74C02FE8"/>
    <w:rsid w:val="74D12F21"/>
    <w:rsid w:val="74D30D49"/>
    <w:rsid w:val="74FA110D"/>
    <w:rsid w:val="75707DFF"/>
    <w:rsid w:val="75850A21"/>
    <w:rsid w:val="75A32A4B"/>
    <w:rsid w:val="75F916D9"/>
    <w:rsid w:val="764F677B"/>
    <w:rsid w:val="76586D8D"/>
    <w:rsid w:val="765D4A8D"/>
    <w:rsid w:val="7680346F"/>
    <w:rsid w:val="768B2FB9"/>
    <w:rsid w:val="76A549F2"/>
    <w:rsid w:val="76FB0CC2"/>
    <w:rsid w:val="77592D2C"/>
    <w:rsid w:val="77874E78"/>
    <w:rsid w:val="77C91EAF"/>
    <w:rsid w:val="77EB77F4"/>
    <w:rsid w:val="77F1490E"/>
    <w:rsid w:val="783C4D36"/>
    <w:rsid w:val="78545782"/>
    <w:rsid w:val="7865443E"/>
    <w:rsid w:val="78955B08"/>
    <w:rsid w:val="789E5733"/>
    <w:rsid w:val="790B4DEB"/>
    <w:rsid w:val="79273B10"/>
    <w:rsid w:val="792C05A0"/>
    <w:rsid w:val="792F1EBF"/>
    <w:rsid w:val="793538E4"/>
    <w:rsid w:val="7958447D"/>
    <w:rsid w:val="7994243F"/>
    <w:rsid w:val="79B63FDB"/>
    <w:rsid w:val="79BC2009"/>
    <w:rsid w:val="79EA24DD"/>
    <w:rsid w:val="7A1B2525"/>
    <w:rsid w:val="7A5D5326"/>
    <w:rsid w:val="7A6F3DBB"/>
    <w:rsid w:val="7ABA137E"/>
    <w:rsid w:val="7ABD6327"/>
    <w:rsid w:val="7AC22501"/>
    <w:rsid w:val="7AEA4491"/>
    <w:rsid w:val="7AFA363B"/>
    <w:rsid w:val="7B015DDE"/>
    <w:rsid w:val="7B034FED"/>
    <w:rsid w:val="7B090CC0"/>
    <w:rsid w:val="7B0D3A53"/>
    <w:rsid w:val="7B0E217B"/>
    <w:rsid w:val="7B1A0783"/>
    <w:rsid w:val="7B444124"/>
    <w:rsid w:val="7B9C55BA"/>
    <w:rsid w:val="7BF53F76"/>
    <w:rsid w:val="7C006F03"/>
    <w:rsid w:val="7C184F32"/>
    <w:rsid w:val="7C3A1EBC"/>
    <w:rsid w:val="7C4E5BA2"/>
    <w:rsid w:val="7C6561B8"/>
    <w:rsid w:val="7C656482"/>
    <w:rsid w:val="7C6665B9"/>
    <w:rsid w:val="7C6D4B8A"/>
    <w:rsid w:val="7C944AFF"/>
    <w:rsid w:val="7CA57424"/>
    <w:rsid w:val="7CD33230"/>
    <w:rsid w:val="7D1043B6"/>
    <w:rsid w:val="7D3354E8"/>
    <w:rsid w:val="7D481E82"/>
    <w:rsid w:val="7D5F208C"/>
    <w:rsid w:val="7D611FC5"/>
    <w:rsid w:val="7D732EBE"/>
    <w:rsid w:val="7D917D10"/>
    <w:rsid w:val="7DA074F9"/>
    <w:rsid w:val="7DB57609"/>
    <w:rsid w:val="7DC05AF7"/>
    <w:rsid w:val="7DC807C1"/>
    <w:rsid w:val="7DDC6DFA"/>
    <w:rsid w:val="7E23699D"/>
    <w:rsid w:val="7E4B503D"/>
    <w:rsid w:val="7EC903BD"/>
    <w:rsid w:val="7EC97B13"/>
    <w:rsid w:val="7F061EE0"/>
    <w:rsid w:val="7F124E36"/>
    <w:rsid w:val="7F182C4C"/>
    <w:rsid w:val="7F235682"/>
    <w:rsid w:val="7F364B00"/>
    <w:rsid w:val="7F59190C"/>
    <w:rsid w:val="7F5E0449"/>
    <w:rsid w:val="7F83348F"/>
    <w:rsid w:val="7FAF16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55CEE"/>
    <w:pPr>
      <w:widowControl w:val="0"/>
      <w:jc w:val="both"/>
    </w:pPr>
    <w:rPr>
      <w:rFonts w:ascii="Calibri" w:hAnsi="Calibri"/>
      <w:kern w:val="2"/>
      <w:sz w:val="21"/>
      <w:szCs w:val="24"/>
    </w:rPr>
  </w:style>
  <w:style w:type="paragraph" w:styleId="1">
    <w:name w:val="heading 1"/>
    <w:basedOn w:val="a"/>
    <w:next w:val="a"/>
    <w:link w:val="1Char"/>
    <w:qFormat/>
    <w:rsid w:val="00F55CEE"/>
    <w:pPr>
      <w:keepNext/>
      <w:snapToGrid w:val="0"/>
      <w:spacing w:line="400" w:lineRule="atLeast"/>
      <w:ind w:right="-108"/>
      <w:jc w:val="left"/>
      <w:outlineLvl w:val="0"/>
    </w:pPr>
    <w:rPr>
      <w:rFonts w:ascii="宋体" w:eastAsia="仿宋_GB2312" w:hAnsi="宋体"/>
      <w:b/>
      <w:sz w:val="32"/>
      <w:szCs w:val="20"/>
    </w:rPr>
  </w:style>
  <w:style w:type="paragraph" w:styleId="2">
    <w:name w:val="heading 2"/>
    <w:basedOn w:val="a"/>
    <w:next w:val="a"/>
    <w:link w:val="2Char"/>
    <w:unhideWhenUsed/>
    <w:qFormat/>
    <w:rsid w:val="00F55CEE"/>
    <w:pPr>
      <w:spacing w:before="200"/>
      <w:outlineLvl w:val="1"/>
    </w:pPr>
    <w:rPr>
      <w:rFonts w:ascii="Cambria" w:hAnsi="Cambria"/>
      <w:b/>
      <w:bCs/>
      <w:kern w:val="0"/>
      <w:sz w:val="32"/>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F55CEE"/>
    <w:pPr>
      <w:spacing w:after="120"/>
    </w:pPr>
  </w:style>
  <w:style w:type="paragraph" w:styleId="a4">
    <w:name w:val="annotation text"/>
    <w:basedOn w:val="a"/>
    <w:qFormat/>
    <w:rsid w:val="00F55CEE"/>
    <w:pPr>
      <w:jc w:val="left"/>
    </w:pPr>
  </w:style>
  <w:style w:type="paragraph" w:styleId="a5">
    <w:name w:val="Plain Text"/>
    <w:basedOn w:val="a"/>
    <w:qFormat/>
    <w:rsid w:val="00F55CEE"/>
    <w:rPr>
      <w:rFonts w:ascii="宋体" w:hAnsi="Courier New"/>
      <w:sz w:val="11"/>
      <w:szCs w:val="20"/>
    </w:rPr>
  </w:style>
  <w:style w:type="paragraph" w:styleId="a6">
    <w:name w:val="footer"/>
    <w:basedOn w:val="a"/>
    <w:link w:val="Char0"/>
    <w:uiPriority w:val="99"/>
    <w:qFormat/>
    <w:rsid w:val="00F55CEE"/>
    <w:pPr>
      <w:tabs>
        <w:tab w:val="center" w:pos="4153"/>
        <w:tab w:val="right" w:pos="8306"/>
      </w:tabs>
      <w:snapToGrid w:val="0"/>
      <w:jc w:val="left"/>
    </w:pPr>
    <w:rPr>
      <w:sz w:val="18"/>
    </w:rPr>
  </w:style>
  <w:style w:type="paragraph" w:styleId="a7">
    <w:name w:val="header"/>
    <w:basedOn w:val="a"/>
    <w:qFormat/>
    <w:rsid w:val="00F55CE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F55CEE"/>
  </w:style>
  <w:style w:type="paragraph" w:styleId="a8">
    <w:name w:val="footnote text"/>
    <w:basedOn w:val="a"/>
    <w:qFormat/>
    <w:rsid w:val="00F55CEE"/>
    <w:pPr>
      <w:snapToGrid w:val="0"/>
      <w:jc w:val="left"/>
    </w:pPr>
    <w:rPr>
      <w:sz w:val="18"/>
    </w:rPr>
  </w:style>
  <w:style w:type="paragraph" w:styleId="20">
    <w:name w:val="toc 2"/>
    <w:basedOn w:val="a"/>
    <w:next w:val="a"/>
    <w:uiPriority w:val="39"/>
    <w:qFormat/>
    <w:rsid w:val="00F55CEE"/>
    <w:pPr>
      <w:ind w:leftChars="200" w:left="420"/>
    </w:pPr>
  </w:style>
  <w:style w:type="paragraph" w:styleId="a9">
    <w:name w:val="Normal (Web)"/>
    <w:basedOn w:val="a"/>
    <w:qFormat/>
    <w:rsid w:val="00F55CEE"/>
    <w:pPr>
      <w:spacing w:before="100" w:beforeAutospacing="1" w:after="100" w:afterAutospacing="1"/>
      <w:jc w:val="left"/>
    </w:pPr>
    <w:rPr>
      <w:kern w:val="0"/>
      <w:sz w:val="24"/>
    </w:rPr>
  </w:style>
  <w:style w:type="table" w:styleId="aa">
    <w:name w:val="Table Grid"/>
    <w:basedOn w:val="a2"/>
    <w:qFormat/>
    <w:rsid w:val="00F55CE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1"/>
    <w:qFormat/>
    <w:rsid w:val="00F55CEE"/>
  </w:style>
  <w:style w:type="character" w:styleId="ac">
    <w:name w:val="FollowedHyperlink"/>
    <w:basedOn w:val="a1"/>
    <w:qFormat/>
    <w:rsid w:val="00F55CEE"/>
    <w:rPr>
      <w:color w:val="000000"/>
      <w:u w:val="none"/>
    </w:rPr>
  </w:style>
  <w:style w:type="character" w:styleId="ad">
    <w:name w:val="Hyperlink"/>
    <w:basedOn w:val="a1"/>
    <w:uiPriority w:val="99"/>
    <w:qFormat/>
    <w:rsid w:val="00F55CEE"/>
    <w:rPr>
      <w:color w:val="0000FF"/>
      <w:u w:val="single"/>
    </w:rPr>
  </w:style>
  <w:style w:type="character" w:styleId="ae">
    <w:name w:val="annotation reference"/>
    <w:basedOn w:val="a1"/>
    <w:qFormat/>
    <w:rsid w:val="00F55CEE"/>
    <w:rPr>
      <w:sz w:val="21"/>
      <w:szCs w:val="21"/>
    </w:rPr>
  </w:style>
  <w:style w:type="character" w:styleId="af">
    <w:name w:val="footnote reference"/>
    <w:basedOn w:val="a1"/>
    <w:qFormat/>
    <w:rsid w:val="00F55CEE"/>
    <w:rPr>
      <w:vertAlign w:val="superscript"/>
    </w:rPr>
  </w:style>
  <w:style w:type="character" w:customStyle="1" w:styleId="1Char">
    <w:name w:val="标题 1 Char"/>
    <w:link w:val="1"/>
    <w:qFormat/>
    <w:rsid w:val="00F55CEE"/>
    <w:rPr>
      <w:rFonts w:ascii="宋体" w:eastAsia="仿宋_GB2312" w:hAnsi="宋体"/>
      <w:b/>
      <w:sz w:val="32"/>
      <w:szCs w:val="20"/>
    </w:rPr>
  </w:style>
  <w:style w:type="character" w:customStyle="1" w:styleId="Char">
    <w:name w:val="正文文本 Char"/>
    <w:basedOn w:val="a1"/>
    <w:link w:val="a0"/>
    <w:qFormat/>
    <w:rsid w:val="00F55CEE"/>
    <w:rPr>
      <w:rFonts w:ascii="Calibri" w:hAnsi="Calibri"/>
      <w:kern w:val="2"/>
      <w:sz w:val="21"/>
      <w:szCs w:val="24"/>
    </w:rPr>
  </w:style>
  <w:style w:type="character" w:customStyle="1" w:styleId="Char0">
    <w:name w:val="页脚 Char"/>
    <w:basedOn w:val="a1"/>
    <w:link w:val="a6"/>
    <w:uiPriority w:val="99"/>
    <w:qFormat/>
    <w:rsid w:val="00F55CEE"/>
    <w:rPr>
      <w:rFonts w:ascii="Calibri" w:hAnsi="Calibri"/>
      <w:kern w:val="2"/>
      <w:sz w:val="18"/>
      <w:szCs w:val="24"/>
    </w:rPr>
  </w:style>
  <w:style w:type="character" w:customStyle="1" w:styleId="2Char">
    <w:name w:val="标题 2 Char"/>
    <w:link w:val="2"/>
    <w:qFormat/>
    <w:rsid w:val="00F55CEE"/>
    <w:rPr>
      <w:rFonts w:ascii="Cambria" w:hAnsi="Cambria"/>
      <w:b/>
      <w:bCs/>
      <w:kern w:val="0"/>
      <w:sz w:val="32"/>
      <w:szCs w:val="26"/>
    </w:rPr>
  </w:style>
  <w:style w:type="character" w:customStyle="1" w:styleId="font01">
    <w:name w:val="font01"/>
    <w:basedOn w:val="a1"/>
    <w:qFormat/>
    <w:rsid w:val="00F55CEE"/>
    <w:rPr>
      <w:rFonts w:ascii="宋体" w:eastAsia="宋体" w:hAnsi="宋体" w:cs="宋体"/>
      <w:color w:val="000000"/>
      <w:sz w:val="24"/>
      <w:szCs w:val="24"/>
      <w:u w:val="none"/>
    </w:rPr>
  </w:style>
  <w:style w:type="paragraph" w:customStyle="1" w:styleId="Default">
    <w:name w:val="Default"/>
    <w:qFormat/>
    <w:rsid w:val="00F55CEE"/>
    <w:pPr>
      <w:widowControl w:val="0"/>
      <w:autoSpaceDE w:val="0"/>
      <w:autoSpaceDN w:val="0"/>
      <w:adjustRightInd w:val="0"/>
      <w:snapToGrid w:val="0"/>
      <w:spacing w:line="360" w:lineRule="auto"/>
      <w:jc w:val="center"/>
    </w:pPr>
    <w:rPr>
      <w:rFonts w:ascii="Tahoma" w:hAnsi="Tahoma" w:cs="Tahoma"/>
      <w:b/>
      <w:color w:val="000000"/>
      <w:sz w:val="21"/>
      <w:szCs w:val="24"/>
    </w:rPr>
  </w:style>
  <w:style w:type="paragraph" w:styleId="af0">
    <w:name w:val="List Paragraph"/>
    <w:basedOn w:val="a"/>
    <w:qFormat/>
    <w:rsid w:val="00F55CEE"/>
    <w:pPr>
      <w:ind w:firstLineChars="200" w:firstLine="420"/>
    </w:pPr>
    <w:rPr>
      <w:kern w:val="0"/>
      <w:sz w:val="20"/>
      <w:szCs w:val="20"/>
    </w:rPr>
  </w:style>
  <w:style w:type="character" w:customStyle="1" w:styleId="font41">
    <w:name w:val="font41"/>
    <w:basedOn w:val="a1"/>
    <w:qFormat/>
    <w:rsid w:val="00F55CEE"/>
    <w:rPr>
      <w:rFonts w:ascii="楷体_GB2312" w:eastAsia="楷体_GB2312" w:cs="楷体_GB2312"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oleObject" Target="embeddings/oleObject2.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8.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9.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header" Target="header7.xml"/></Relationships>
</file>

<file path=word/_rels/header7.xml.rels><?xml version="1.0" encoding="UTF-8" standalone="yes"?>
<Relationships xmlns="http://schemas.openxmlformats.org/package/2006/relationships"><Relationship Id="rId1" Type="http://schemas.openxmlformats.org/officeDocument/2006/relationships/image" Target="media/image7.png"/></Relationships>
</file>

<file path=word/_rels/header8.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51</Pages>
  <Words>4141</Words>
  <Characters>23609</Characters>
  <Application>Microsoft Office Word</Application>
  <DocSecurity>0</DocSecurity>
  <Lines>196</Lines>
  <Paragraphs>55</Paragraphs>
  <ScaleCrop>false</ScaleCrop>
  <Company>daohangxitong.com</Company>
  <LinksUpToDate>false</LinksUpToDate>
  <CharactersWithSpaces>27695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dc:creator>
  <cp:lastModifiedBy>Administrator</cp:lastModifiedBy>
  <cp:revision>12</cp:revision>
  <cp:lastPrinted>2019-07-22T08:57:00Z</cp:lastPrinted>
  <dcterms:created xsi:type="dcterms:W3CDTF">2014-10-29T12:08:00Z</dcterms:created>
  <dcterms:modified xsi:type="dcterms:W3CDTF">2021-08-15T02:47:00Z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920A6F7DC5D041E9B38D342E6E09DB94</vt:lpwstr>
  </property>
</Properties>
</file>