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7"/>
          <w:rFonts w:ascii="宋体" w:hAnsi="宋体" w:eastAsia="宋体"/>
          <w:b/>
          <w:sz w:val="44"/>
          <w:szCs w:val="44"/>
        </w:rPr>
      </w:pPr>
      <w:r>
        <w:rPr>
          <w:rStyle w:val="7"/>
          <w:rFonts w:hint="eastAsia" w:ascii="宋体" w:hAnsi="宋体" w:eastAsia="宋体"/>
          <w:b/>
          <w:sz w:val="44"/>
          <w:szCs w:val="44"/>
        </w:rPr>
        <w:t>黎城县冶金产业局</w:t>
      </w:r>
      <w:r>
        <w:rPr>
          <w:rStyle w:val="7"/>
          <w:rFonts w:ascii="宋体" w:hAnsi="宋体" w:eastAsia="宋体"/>
          <w:b/>
          <w:sz w:val="44"/>
          <w:szCs w:val="44"/>
        </w:rPr>
        <w:t>2018年度</w:t>
      </w:r>
    </w:p>
    <w:p>
      <w:pPr>
        <w:ind w:firstLine="0"/>
        <w:jc w:val="center"/>
        <w:rPr>
          <w:rStyle w:val="7"/>
          <w:rFonts w:ascii="宋体" w:hAnsi="宋体" w:eastAsia="宋体"/>
          <w:b/>
          <w:sz w:val="44"/>
          <w:szCs w:val="44"/>
        </w:rPr>
      </w:pPr>
      <w:r>
        <w:rPr>
          <w:rStyle w:val="7"/>
          <w:rFonts w:ascii="宋体" w:hAnsi="宋体" w:eastAsia="宋体"/>
          <w:b/>
          <w:sz w:val="44"/>
          <w:szCs w:val="44"/>
        </w:rPr>
        <w:t>部门决算公开说明</w:t>
      </w:r>
    </w:p>
    <w:p>
      <w:pPr>
        <w:ind w:firstLine="0"/>
        <w:jc w:val="center"/>
        <w:rPr>
          <w:rStyle w:val="7"/>
          <w:rFonts w:ascii="宋体" w:hAnsi="宋体" w:eastAsia="宋体"/>
          <w:b/>
          <w:sz w:val="44"/>
          <w:szCs w:val="44"/>
        </w:rPr>
      </w:pPr>
    </w:p>
    <w:p>
      <w:pPr>
        <w:spacing w:line="550" w:lineRule="exact"/>
        <w:ind w:firstLine="3534" w:firstLineChars="800"/>
        <w:jc w:val="left"/>
        <w:rPr>
          <w:rFonts w:ascii="仿宋" w:hAnsi="仿宋" w:eastAsia="仿宋"/>
          <w:b/>
          <w:sz w:val="44"/>
          <w:szCs w:val="44"/>
        </w:rPr>
      </w:pPr>
      <w:r>
        <w:rPr>
          <w:rFonts w:ascii="仿宋" w:hAnsi="仿宋" w:eastAsia="仿宋"/>
          <w:b/>
          <w:sz w:val="44"/>
          <w:szCs w:val="44"/>
        </w:rPr>
        <w:t>目  录</w:t>
      </w:r>
    </w:p>
    <w:p>
      <w:pPr>
        <w:spacing w:line="550" w:lineRule="exact"/>
        <w:jc w:val="center"/>
        <w:rPr>
          <w:rFonts w:ascii="仿宋" w:hAnsi="仿宋" w:eastAsia="仿宋"/>
          <w:b/>
          <w:sz w:val="44"/>
          <w:szCs w:val="44"/>
        </w:rPr>
      </w:pPr>
    </w:p>
    <w:p>
      <w:pPr>
        <w:spacing w:line="550" w:lineRule="exact"/>
        <w:ind w:firstLine="0"/>
        <w:rPr>
          <w:rFonts w:ascii="仿宋" w:hAnsi="仿宋" w:eastAsia="仿宋"/>
          <w:b/>
          <w:szCs w:val="32"/>
        </w:rPr>
      </w:pPr>
      <w:r>
        <w:rPr>
          <w:rFonts w:ascii="仿宋" w:hAnsi="仿宋" w:eastAsia="仿宋"/>
          <w:b/>
          <w:szCs w:val="32"/>
        </w:rPr>
        <w:t>第一部分 部门概况</w:t>
      </w:r>
    </w:p>
    <w:p>
      <w:pPr>
        <w:widowControl w:val="0"/>
        <w:numPr>
          <w:ilvl w:val="0"/>
          <w:numId w:val="1"/>
        </w:numPr>
        <w:tabs>
          <w:tab w:val="left" w:pos="885"/>
        </w:tabs>
        <w:snapToGrid/>
        <w:spacing w:line="550" w:lineRule="exact"/>
        <w:textAlignment w:val="auto"/>
        <w:rPr>
          <w:rFonts w:ascii="仿宋" w:hAnsi="仿宋" w:eastAsia="仿宋"/>
          <w:b/>
          <w:szCs w:val="32"/>
        </w:rPr>
      </w:pPr>
      <w:r>
        <w:rPr>
          <w:rFonts w:ascii="仿宋" w:hAnsi="仿宋" w:eastAsia="仿宋"/>
          <w:b/>
          <w:szCs w:val="32"/>
        </w:rPr>
        <w:t>主要职能</w:t>
      </w:r>
    </w:p>
    <w:p>
      <w:pPr>
        <w:widowControl w:val="0"/>
        <w:numPr>
          <w:ilvl w:val="0"/>
          <w:numId w:val="1"/>
        </w:numPr>
        <w:tabs>
          <w:tab w:val="left" w:pos="885"/>
        </w:tabs>
        <w:snapToGrid/>
        <w:spacing w:line="550" w:lineRule="exact"/>
        <w:textAlignment w:val="auto"/>
        <w:rPr>
          <w:rFonts w:ascii="仿宋" w:hAnsi="仿宋" w:eastAsia="仿宋"/>
          <w:b/>
          <w:szCs w:val="32"/>
        </w:rPr>
      </w:pPr>
      <w:r>
        <w:rPr>
          <w:rFonts w:ascii="仿宋" w:hAnsi="仿宋" w:eastAsia="仿宋"/>
          <w:b/>
          <w:szCs w:val="32"/>
        </w:rPr>
        <w:t>部门机构设置及决算单位构成情况</w:t>
      </w:r>
      <w:bookmarkStart w:id="0" w:name="_GoBack"/>
      <w:bookmarkEnd w:id="0"/>
    </w:p>
    <w:p>
      <w:pPr>
        <w:widowControl w:val="0"/>
        <w:numPr>
          <w:ilvl w:val="0"/>
          <w:numId w:val="1"/>
        </w:numPr>
        <w:tabs>
          <w:tab w:val="left" w:pos="885"/>
        </w:tabs>
        <w:snapToGrid/>
        <w:spacing w:line="550" w:lineRule="exact"/>
        <w:textAlignment w:val="auto"/>
        <w:rPr>
          <w:rFonts w:ascii="仿宋" w:hAnsi="仿宋" w:eastAsia="仿宋"/>
          <w:b/>
          <w:szCs w:val="32"/>
        </w:rPr>
      </w:pPr>
      <w:r>
        <w:rPr>
          <w:rFonts w:hint="eastAsia" w:ascii="仿宋" w:hAnsi="仿宋" w:eastAsia="仿宋"/>
          <w:b/>
          <w:szCs w:val="32"/>
        </w:rPr>
        <w:t>2018</w:t>
      </w:r>
      <w:r>
        <w:rPr>
          <w:rFonts w:ascii="仿宋" w:hAnsi="仿宋" w:eastAsia="仿宋"/>
          <w:b/>
          <w:szCs w:val="32"/>
        </w:rPr>
        <w:t>年度主要工作完成情况</w:t>
      </w:r>
    </w:p>
    <w:p>
      <w:pPr>
        <w:spacing w:line="550" w:lineRule="exact"/>
        <w:ind w:firstLine="0"/>
        <w:rPr>
          <w:rFonts w:ascii="仿宋" w:hAnsi="仿宋" w:eastAsia="仿宋"/>
          <w:b/>
          <w:szCs w:val="32"/>
        </w:rPr>
      </w:pPr>
      <w:r>
        <w:rPr>
          <w:rFonts w:ascii="仿宋" w:hAnsi="仿宋" w:eastAsia="仿宋"/>
          <w:b/>
          <w:szCs w:val="32"/>
        </w:rPr>
        <w:t xml:space="preserve">第二部分 </w:t>
      </w:r>
      <w:r>
        <w:rPr>
          <w:rFonts w:hint="eastAsia" w:ascii="仿宋" w:hAnsi="仿宋" w:eastAsia="仿宋"/>
          <w:b/>
          <w:szCs w:val="32"/>
        </w:rPr>
        <w:t>2018</w:t>
      </w:r>
      <w:r>
        <w:rPr>
          <w:rFonts w:ascii="仿宋" w:hAnsi="仿宋" w:eastAsia="仿宋"/>
          <w:b/>
          <w:szCs w:val="32"/>
        </w:rPr>
        <w:t>年度部门决算表</w:t>
      </w:r>
    </w:p>
    <w:p>
      <w:pPr>
        <w:spacing w:line="550" w:lineRule="exact"/>
        <w:ind w:firstLine="0"/>
        <w:rPr>
          <w:rFonts w:ascii="仿宋" w:hAnsi="仿宋" w:eastAsia="仿宋"/>
          <w:b/>
          <w:szCs w:val="32"/>
        </w:rPr>
      </w:pPr>
      <w:r>
        <w:rPr>
          <w:rFonts w:ascii="仿宋" w:hAnsi="仿宋" w:eastAsia="仿宋"/>
          <w:b/>
          <w:szCs w:val="32"/>
        </w:rPr>
        <w:t xml:space="preserve">第三部分 </w:t>
      </w:r>
      <w:r>
        <w:rPr>
          <w:rFonts w:hint="eastAsia" w:ascii="仿宋" w:hAnsi="仿宋" w:eastAsia="仿宋"/>
          <w:b/>
          <w:szCs w:val="32"/>
        </w:rPr>
        <w:t>2018</w:t>
      </w:r>
      <w:r>
        <w:rPr>
          <w:rFonts w:ascii="仿宋" w:hAnsi="仿宋" w:eastAsia="仿宋"/>
          <w:b/>
          <w:szCs w:val="32"/>
        </w:rPr>
        <w:t>年度部门决算情况说明</w:t>
      </w:r>
    </w:p>
    <w:p>
      <w:pPr>
        <w:spacing w:line="550" w:lineRule="exact"/>
        <w:ind w:firstLine="0"/>
        <w:rPr>
          <w:rFonts w:ascii="仿宋" w:hAnsi="仿宋" w:eastAsia="仿宋"/>
          <w:b/>
          <w:szCs w:val="32"/>
        </w:rPr>
      </w:pPr>
      <w:r>
        <w:rPr>
          <w:rFonts w:ascii="仿宋" w:hAnsi="仿宋" w:eastAsia="仿宋"/>
          <w:b/>
          <w:szCs w:val="32"/>
        </w:rPr>
        <w:t>第四部分 名词解释</w:t>
      </w:r>
    </w:p>
    <w:p>
      <w:pPr>
        <w:ind w:firstLine="0"/>
        <w:jc w:val="center"/>
        <w:rPr>
          <w:rStyle w:val="7"/>
          <w:rFonts w:ascii="仿宋" w:hAnsi="仿宋" w:eastAsia="仿宋"/>
          <w:b/>
          <w:sz w:val="44"/>
          <w:szCs w:val="44"/>
        </w:rPr>
      </w:pPr>
      <w:r>
        <w:rPr>
          <w:rFonts w:ascii="仿宋" w:hAnsi="仿宋" w:eastAsia="仿宋"/>
          <w:b/>
          <w:sz w:val="36"/>
          <w:szCs w:val="36"/>
        </w:rPr>
        <w:br w:type="page"/>
      </w:r>
    </w:p>
    <w:p>
      <w:pPr>
        <w:ind w:firstLine="0"/>
        <w:jc w:val="center"/>
        <w:rPr>
          <w:rStyle w:val="7"/>
          <w:rFonts w:ascii="仿宋" w:hAnsi="仿宋" w:eastAsia="仿宋"/>
          <w:b/>
          <w:szCs w:val="32"/>
        </w:rPr>
      </w:pPr>
      <w:r>
        <w:rPr>
          <w:rStyle w:val="7"/>
          <w:rFonts w:ascii="仿宋" w:hAnsi="仿宋" w:eastAsia="仿宋"/>
          <w:b/>
          <w:szCs w:val="32"/>
        </w:rPr>
        <w:t>第一部分  部门概况</w:t>
      </w:r>
    </w:p>
    <w:p>
      <w:pPr>
        <w:pStyle w:val="19"/>
        <w:numPr>
          <w:ilvl w:val="0"/>
          <w:numId w:val="2"/>
        </w:numPr>
        <w:ind w:firstLineChars="0"/>
        <w:rPr>
          <w:rStyle w:val="7"/>
          <w:rFonts w:ascii="仿宋" w:hAnsi="仿宋" w:eastAsia="仿宋"/>
          <w:b/>
          <w:szCs w:val="32"/>
        </w:rPr>
      </w:pPr>
      <w:r>
        <w:rPr>
          <w:rStyle w:val="7"/>
          <w:rFonts w:ascii="仿宋" w:hAnsi="仿宋" w:eastAsia="仿宋"/>
          <w:b/>
          <w:szCs w:val="32"/>
        </w:rPr>
        <w:t>主要职能</w:t>
      </w:r>
    </w:p>
    <w:p>
      <w:pPr>
        <w:pStyle w:val="19"/>
        <w:ind w:firstLine="640"/>
        <w:rPr>
          <w:rStyle w:val="7"/>
          <w:rFonts w:ascii="仿宋" w:hAnsi="仿宋" w:eastAsia="仿宋"/>
          <w:b/>
          <w:szCs w:val="32"/>
        </w:rPr>
      </w:pPr>
      <w:r>
        <w:rPr>
          <w:rStyle w:val="7"/>
          <w:rFonts w:hint="eastAsia" w:ascii="仿宋" w:hAnsi="仿宋" w:eastAsia="仿宋"/>
        </w:rPr>
        <w:t>贯彻执行国家法律法规、方针政策，负责本</w:t>
      </w:r>
      <w:r>
        <w:rPr>
          <w:rStyle w:val="7"/>
          <w:rFonts w:hint="eastAsia" w:ascii="仿宋" w:hAnsi="仿宋" w:eastAsia="仿宋"/>
          <w:lang w:val="en-US" w:eastAsia="zh-CN"/>
        </w:rPr>
        <w:t>辖区</w:t>
      </w:r>
      <w:r>
        <w:rPr>
          <w:rStyle w:val="7"/>
          <w:rFonts w:hint="eastAsia" w:ascii="仿宋" w:hAnsi="仿宋" w:eastAsia="仿宋"/>
        </w:rPr>
        <w:t>行业安全生产监管等工作。承办上级管理部门和地方人民政府交办的其它事项。</w:t>
      </w:r>
    </w:p>
    <w:p>
      <w:pPr>
        <w:ind w:firstLine="0"/>
        <w:rPr>
          <w:rStyle w:val="7"/>
          <w:rFonts w:ascii="仿宋" w:hAnsi="仿宋" w:eastAsia="仿宋"/>
          <w:szCs w:val="32"/>
        </w:rPr>
      </w:pPr>
    </w:p>
    <w:p>
      <w:pPr>
        <w:ind w:firstLine="0"/>
        <w:rPr>
          <w:rStyle w:val="7"/>
          <w:rFonts w:ascii="仿宋" w:hAnsi="仿宋" w:eastAsia="仿宋"/>
          <w:b/>
          <w:szCs w:val="32"/>
        </w:rPr>
      </w:pPr>
      <w:r>
        <w:rPr>
          <w:rStyle w:val="7"/>
          <w:rFonts w:ascii="仿宋" w:hAnsi="仿宋" w:eastAsia="仿宋"/>
          <w:b/>
          <w:szCs w:val="32"/>
        </w:rPr>
        <w:t>二、部门机构设置情况</w:t>
      </w:r>
    </w:p>
    <w:p>
      <w:pPr>
        <w:ind w:firstLine="640" w:firstLineChars="200"/>
        <w:jc w:val="left"/>
        <w:rPr>
          <w:rStyle w:val="7"/>
          <w:rFonts w:ascii="仿宋" w:hAnsi="仿宋" w:eastAsia="仿宋"/>
        </w:rPr>
      </w:pPr>
      <w:r>
        <w:rPr>
          <w:rStyle w:val="7"/>
          <w:rFonts w:hint="eastAsia" w:ascii="仿宋" w:hAnsi="仿宋" w:eastAsia="仿宋"/>
        </w:rPr>
        <w:t>1</w:t>
      </w:r>
      <w:r>
        <w:rPr>
          <w:rStyle w:val="7"/>
          <w:rFonts w:hint="eastAsia" w:ascii="仿宋" w:hAnsi="仿宋" w:eastAsia="仿宋"/>
          <w:szCs w:val="32"/>
        </w:rPr>
        <w:t>．</w:t>
      </w:r>
      <w:r>
        <w:rPr>
          <w:rStyle w:val="7"/>
          <w:rFonts w:hint="eastAsia" w:ascii="仿宋" w:hAnsi="仿宋" w:eastAsia="仿宋"/>
        </w:rPr>
        <w:t>部门预算单位包括：黎城县冶金产业局，属行政事业单位</w:t>
      </w:r>
      <w:r>
        <w:rPr>
          <w:rStyle w:val="7"/>
          <w:rFonts w:hint="eastAsia" w:ascii="仿宋" w:hAnsi="仿宋" w:eastAsia="仿宋"/>
          <w:lang w:eastAsia="zh-CN"/>
        </w:rPr>
        <w:t>，内设科室：领导室、办公室、财务室</w:t>
      </w:r>
      <w:r>
        <w:rPr>
          <w:rStyle w:val="7"/>
          <w:rFonts w:hint="eastAsia" w:ascii="仿宋" w:hAnsi="仿宋" w:eastAsia="仿宋"/>
        </w:rPr>
        <w:t>。</w:t>
      </w:r>
    </w:p>
    <w:p>
      <w:pPr>
        <w:ind w:firstLine="640" w:firstLineChars="200"/>
        <w:jc w:val="left"/>
        <w:rPr>
          <w:rStyle w:val="7"/>
          <w:rFonts w:ascii="仿宋" w:hAnsi="仿宋" w:eastAsia="仿宋"/>
        </w:rPr>
      </w:pPr>
      <w:r>
        <w:rPr>
          <w:rStyle w:val="7"/>
          <w:rFonts w:hint="eastAsia" w:ascii="仿宋" w:hAnsi="仿宋" w:eastAsia="仿宋"/>
        </w:rPr>
        <w:t>2</w:t>
      </w:r>
      <w:r>
        <w:rPr>
          <w:rStyle w:val="7"/>
          <w:rFonts w:hint="eastAsia" w:ascii="仿宋" w:hAnsi="仿宋" w:eastAsia="仿宋"/>
          <w:szCs w:val="32"/>
        </w:rPr>
        <w:t>．</w:t>
      </w:r>
      <w:r>
        <w:rPr>
          <w:rStyle w:val="7"/>
          <w:rFonts w:hint="eastAsia" w:ascii="仿宋" w:hAnsi="仿宋" w:eastAsia="仿宋"/>
        </w:rPr>
        <w:t>从预算单位构成来看，纳入本部门2018年部门总预算编制范围的预算单位共计1家：黎城县冶金产业局。</w:t>
      </w:r>
    </w:p>
    <w:p>
      <w:pPr>
        <w:ind w:firstLine="640" w:firstLineChars="200"/>
        <w:jc w:val="left"/>
        <w:rPr>
          <w:rStyle w:val="7"/>
          <w:rFonts w:ascii="仿宋" w:hAnsi="仿宋" w:eastAsia="仿宋"/>
          <w:sz w:val="44"/>
          <w:szCs w:val="44"/>
        </w:rPr>
      </w:pPr>
      <w:r>
        <w:rPr>
          <w:rStyle w:val="7"/>
          <w:rFonts w:hint="eastAsia" w:ascii="仿宋" w:hAnsi="仿宋" w:eastAsia="仿宋"/>
        </w:rPr>
        <w:t>3</w:t>
      </w:r>
      <w:r>
        <w:rPr>
          <w:rStyle w:val="7"/>
          <w:rFonts w:hint="eastAsia" w:ascii="仿宋" w:hAnsi="仿宋" w:eastAsia="仿宋"/>
          <w:szCs w:val="32"/>
        </w:rPr>
        <w:t>．</w:t>
      </w:r>
      <w:r>
        <w:rPr>
          <w:rStyle w:val="7"/>
          <w:rFonts w:hint="eastAsia" w:ascii="仿宋" w:hAnsi="仿宋" w:eastAsia="仿宋"/>
          <w:szCs w:val="32"/>
          <w:lang w:eastAsia="zh-CN"/>
        </w:rPr>
        <w:t>本部门无</w:t>
      </w:r>
      <w:r>
        <w:rPr>
          <w:rStyle w:val="7"/>
          <w:rFonts w:hint="eastAsia" w:ascii="仿宋" w:hAnsi="仿宋" w:eastAsia="仿宋"/>
        </w:rPr>
        <w:t>下属单位。</w:t>
      </w:r>
    </w:p>
    <w:p>
      <w:pPr>
        <w:spacing w:line="550" w:lineRule="exact"/>
        <w:ind w:firstLine="0"/>
        <w:jc w:val="center"/>
        <w:rPr>
          <w:rStyle w:val="7"/>
          <w:rFonts w:ascii="仿宋" w:hAnsi="仿宋" w:eastAsia="仿宋"/>
          <w:b/>
          <w:szCs w:val="32"/>
        </w:rPr>
      </w:pPr>
      <w:r>
        <w:rPr>
          <w:rStyle w:val="7"/>
          <w:rFonts w:ascii="仿宋" w:hAnsi="仿宋" w:eastAsia="仿宋"/>
          <w:b/>
          <w:szCs w:val="32"/>
        </w:rPr>
        <w:t>第二部分  部门决算表（略，详见附表）</w:t>
      </w:r>
    </w:p>
    <w:p>
      <w:pPr>
        <w:tabs>
          <w:tab w:val="left" w:pos="3031"/>
        </w:tabs>
        <w:ind w:firstLine="0"/>
        <w:jc w:val="center"/>
        <w:rPr>
          <w:rStyle w:val="7"/>
          <w:rFonts w:ascii="仿宋" w:hAnsi="仿宋" w:eastAsia="仿宋"/>
          <w:b/>
          <w:szCs w:val="32"/>
        </w:rPr>
      </w:pPr>
      <w:r>
        <w:rPr>
          <w:rStyle w:val="7"/>
          <w:rFonts w:ascii="仿宋" w:hAnsi="仿宋" w:eastAsia="仿宋"/>
          <w:b/>
          <w:szCs w:val="32"/>
        </w:rPr>
        <w:t>第三部分  部门决算情况说明</w:t>
      </w:r>
    </w:p>
    <w:p>
      <w:pPr>
        <w:spacing w:line="550" w:lineRule="exact"/>
        <w:ind w:firstLine="0"/>
        <w:rPr>
          <w:rStyle w:val="7"/>
          <w:rFonts w:ascii="仿宋" w:hAnsi="仿宋" w:eastAsia="仿宋"/>
          <w:i/>
          <w:szCs w:val="32"/>
        </w:rPr>
      </w:pPr>
      <w:r>
        <w:rPr>
          <w:rStyle w:val="7"/>
          <w:rFonts w:ascii="仿宋" w:hAnsi="仿宋" w:eastAsia="仿宋"/>
          <w:b/>
          <w:szCs w:val="32"/>
        </w:rPr>
        <w:t>一、收入支出总表情况说明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本部门本年度收入</w:t>
      </w:r>
      <w:r>
        <w:rPr>
          <w:rStyle w:val="7"/>
          <w:rFonts w:hint="eastAsia" w:ascii="仿宋" w:hAnsi="仿宋" w:eastAsia="仿宋"/>
          <w:szCs w:val="32"/>
        </w:rPr>
        <w:t>125</w:t>
      </w:r>
      <w:r>
        <w:rPr>
          <w:rStyle w:val="7"/>
          <w:rFonts w:ascii="仿宋" w:hAnsi="仿宋" w:eastAsia="仿宋"/>
          <w:szCs w:val="32"/>
        </w:rPr>
        <w:t>万元、支</w:t>
      </w:r>
      <w:r>
        <w:rPr>
          <w:rStyle w:val="7"/>
          <w:rFonts w:hint="eastAsia" w:ascii="仿宋" w:hAnsi="仿宋" w:eastAsia="仿宋"/>
          <w:szCs w:val="32"/>
        </w:rPr>
        <w:t>出125</w:t>
      </w:r>
      <w:r>
        <w:rPr>
          <w:rStyle w:val="7"/>
          <w:rFonts w:ascii="仿宋" w:hAnsi="仿宋" w:eastAsia="仿宋"/>
          <w:szCs w:val="32"/>
        </w:rPr>
        <w:t>万元，与上年相比收入增加</w:t>
      </w:r>
      <w:r>
        <w:rPr>
          <w:rStyle w:val="7"/>
          <w:rFonts w:hint="eastAsia" w:ascii="仿宋" w:hAnsi="仿宋" w:eastAsia="仿宋"/>
          <w:szCs w:val="32"/>
        </w:rPr>
        <w:t>0.97</w:t>
      </w:r>
      <w:r>
        <w:rPr>
          <w:rStyle w:val="7"/>
          <w:rFonts w:ascii="仿宋" w:hAnsi="仿宋" w:eastAsia="仿宋"/>
          <w:szCs w:val="32"/>
        </w:rPr>
        <w:t>万元、支出增加</w:t>
      </w:r>
      <w:r>
        <w:rPr>
          <w:rStyle w:val="7"/>
          <w:rFonts w:hint="eastAsia" w:ascii="仿宋" w:hAnsi="仿宋" w:eastAsia="仿宋"/>
          <w:szCs w:val="32"/>
        </w:rPr>
        <w:t>0.97</w:t>
      </w:r>
      <w:r>
        <w:rPr>
          <w:rStyle w:val="7"/>
          <w:rFonts w:ascii="仿宋" w:hAnsi="仿宋" w:eastAsia="仿宋"/>
          <w:szCs w:val="32"/>
        </w:rPr>
        <w:t>万元，增长</w:t>
      </w:r>
      <w:r>
        <w:rPr>
          <w:rStyle w:val="7"/>
          <w:rFonts w:hint="eastAsia" w:ascii="仿宋" w:hAnsi="仿宋" w:eastAsia="仿宋"/>
          <w:szCs w:val="32"/>
        </w:rPr>
        <w:t>0.77</w:t>
      </w:r>
      <w:r>
        <w:rPr>
          <w:rStyle w:val="7"/>
          <w:rFonts w:ascii="仿宋" w:hAnsi="仿宋" w:eastAsia="仿宋"/>
          <w:szCs w:val="32"/>
        </w:rPr>
        <w:t>%。主要原因是</w:t>
      </w:r>
      <w:r>
        <w:rPr>
          <w:rStyle w:val="7"/>
          <w:rFonts w:hint="eastAsia" w:ascii="仿宋" w:hAnsi="仿宋" w:eastAsia="仿宋"/>
          <w:szCs w:val="32"/>
        </w:rPr>
        <w:t>人员正常增资</w:t>
      </w:r>
      <w:r>
        <w:rPr>
          <w:rStyle w:val="7"/>
          <w:rFonts w:ascii="仿宋" w:hAnsi="仿宋" w:eastAsia="仿宋"/>
          <w:szCs w:val="32"/>
        </w:rPr>
        <w:t>。其中：</w:t>
      </w:r>
    </w:p>
    <w:p>
      <w:pPr>
        <w:spacing w:line="550" w:lineRule="exact"/>
        <w:ind w:firstLine="640" w:firstLineChars="200"/>
        <w:rPr>
          <w:rStyle w:val="7"/>
          <w:rFonts w:ascii="仿宋" w:hAnsi="仿宋" w:eastAsia="仿宋"/>
          <w:szCs w:val="32"/>
        </w:rPr>
      </w:pPr>
      <w:r>
        <w:rPr>
          <w:rStyle w:val="7"/>
          <w:rFonts w:ascii="仿宋" w:hAnsi="仿宋" w:eastAsia="仿宋"/>
          <w:szCs w:val="32"/>
        </w:rPr>
        <w:t>1.财政拨款收入</w:t>
      </w:r>
      <w:r>
        <w:rPr>
          <w:rStyle w:val="7"/>
          <w:rFonts w:hint="eastAsia" w:ascii="仿宋" w:hAnsi="仿宋" w:eastAsia="仿宋"/>
          <w:szCs w:val="32"/>
        </w:rPr>
        <w:t>123.81</w:t>
      </w:r>
      <w:r>
        <w:rPr>
          <w:rStyle w:val="7"/>
          <w:rFonts w:ascii="仿宋" w:hAnsi="仿宋" w:eastAsia="仿宋"/>
          <w:szCs w:val="32"/>
        </w:rPr>
        <w:t>元，为当年从财政取得的一般公共预算拨款和政府性基金预算拨款，与上年相比增加</w:t>
      </w:r>
      <w:r>
        <w:rPr>
          <w:rStyle w:val="7"/>
          <w:rFonts w:hint="eastAsia" w:ascii="仿宋" w:hAnsi="仿宋" w:eastAsia="仿宋"/>
          <w:szCs w:val="32"/>
        </w:rPr>
        <w:t>2万</w:t>
      </w:r>
      <w:r>
        <w:rPr>
          <w:rStyle w:val="7"/>
          <w:rFonts w:ascii="仿宋" w:hAnsi="仿宋" w:eastAsia="仿宋"/>
          <w:szCs w:val="32"/>
        </w:rPr>
        <w:t>元，增长</w:t>
      </w:r>
      <w:r>
        <w:rPr>
          <w:rStyle w:val="7"/>
          <w:rFonts w:hint="eastAsia" w:ascii="仿宋" w:hAnsi="仿宋" w:eastAsia="仿宋"/>
          <w:szCs w:val="32"/>
        </w:rPr>
        <w:t>1.6</w:t>
      </w:r>
      <w:r>
        <w:rPr>
          <w:rStyle w:val="7"/>
          <w:rFonts w:hint="eastAsia" w:ascii="仿宋" w:hAnsi="仿宋" w:eastAsia="仿宋"/>
          <w:szCs w:val="32"/>
          <w:lang w:val="en-US" w:eastAsia="zh-CN"/>
        </w:rPr>
        <w:t>4</w:t>
      </w:r>
      <w:r>
        <w:rPr>
          <w:rStyle w:val="7"/>
          <w:rFonts w:ascii="仿宋" w:hAnsi="仿宋" w:eastAsia="仿宋"/>
          <w:szCs w:val="32"/>
        </w:rPr>
        <w:t>%。主要原因是</w:t>
      </w:r>
      <w:r>
        <w:rPr>
          <w:rStyle w:val="7"/>
          <w:rFonts w:hint="eastAsia" w:ascii="仿宋" w:hAnsi="仿宋" w:eastAsia="仿宋"/>
          <w:szCs w:val="32"/>
        </w:rPr>
        <w:t>人员正常增资</w:t>
      </w:r>
      <w:r>
        <w:rPr>
          <w:rStyle w:val="7"/>
          <w:rFonts w:ascii="仿宋" w:hAnsi="仿宋" w:eastAsia="仿宋"/>
          <w:szCs w:val="32"/>
        </w:rPr>
        <w:t>。</w:t>
      </w:r>
    </w:p>
    <w:p>
      <w:pPr>
        <w:spacing w:line="550" w:lineRule="exact"/>
        <w:ind w:firstLine="640" w:firstLineChars="200"/>
        <w:rPr>
          <w:rFonts w:ascii="仿宋" w:hAnsi="仿宋" w:eastAsia="仿宋"/>
          <w:szCs w:val="32"/>
        </w:rPr>
      </w:pPr>
      <w:r>
        <w:rPr>
          <w:rStyle w:val="7"/>
          <w:rFonts w:ascii="仿宋" w:hAnsi="仿宋" w:eastAsia="仿宋"/>
          <w:szCs w:val="32"/>
        </w:rPr>
        <w:t>2．年初结转和结余</w:t>
      </w:r>
      <w:r>
        <w:rPr>
          <w:rStyle w:val="7"/>
          <w:rFonts w:hint="eastAsia" w:ascii="仿宋" w:hAnsi="仿宋" w:eastAsia="仿宋"/>
          <w:szCs w:val="32"/>
        </w:rPr>
        <w:t>1.19</w:t>
      </w:r>
      <w:r>
        <w:rPr>
          <w:rStyle w:val="7"/>
          <w:rFonts w:ascii="仿宋" w:hAnsi="仿宋" w:eastAsia="仿宋"/>
          <w:szCs w:val="32"/>
        </w:rPr>
        <w:t>万元，主要为单位上年结转本年使用的资金。</w:t>
      </w:r>
    </w:p>
    <w:p>
      <w:pPr>
        <w:spacing w:line="550" w:lineRule="exact"/>
        <w:ind w:firstLine="640" w:firstLineChars="200"/>
        <w:rPr>
          <w:rStyle w:val="7"/>
          <w:rFonts w:ascii="仿宋" w:hAnsi="仿宋" w:eastAsia="仿宋"/>
          <w:szCs w:val="32"/>
        </w:rPr>
      </w:pPr>
      <w:r>
        <w:rPr>
          <w:rStyle w:val="7"/>
          <w:rFonts w:ascii="仿宋" w:hAnsi="仿宋" w:eastAsia="仿宋"/>
          <w:szCs w:val="32"/>
        </w:rPr>
        <w:t>（二）支出总计</w:t>
      </w:r>
      <w:r>
        <w:rPr>
          <w:rStyle w:val="7"/>
          <w:rFonts w:hint="eastAsia" w:ascii="仿宋" w:hAnsi="仿宋" w:eastAsia="仿宋"/>
          <w:szCs w:val="32"/>
        </w:rPr>
        <w:t>125</w:t>
      </w:r>
      <w:r>
        <w:rPr>
          <w:rStyle w:val="7"/>
          <w:rFonts w:ascii="仿宋" w:hAnsi="仿宋" w:eastAsia="仿宋"/>
          <w:szCs w:val="32"/>
        </w:rPr>
        <w:t>万元。包括：</w:t>
      </w:r>
    </w:p>
    <w:p>
      <w:pPr>
        <w:spacing w:line="550" w:lineRule="exact"/>
        <w:ind w:firstLine="640" w:firstLineChars="200"/>
        <w:rPr>
          <w:rStyle w:val="7"/>
          <w:rFonts w:ascii="仿宋" w:hAnsi="仿宋" w:eastAsia="仿宋"/>
          <w:szCs w:val="32"/>
        </w:rPr>
      </w:pPr>
      <w:r>
        <w:rPr>
          <w:rStyle w:val="7"/>
          <w:rFonts w:ascii="仿宋" w:hAnsi="仿宋" w:eastAsia="仿宋"/>
          <w:szCs w:val="32"/>
        </w:rPr>
        <w:t>1．</w:t>
      </w:r>
      <w:r>
        <w:rPr>
          <w:rStyle w:val="7"/>
          <w:rFonts w:hint="eastAsia" w:ascii="仿宋" w:hAnsi="仿宋" w:eastAsia="仿宋"/>
          <w:szCs w:val="32"/>
        </w:rPr>
        <w:t>社会保障就业支出7.69</w:t>
      </w:r>
      <w:r>
        <w:rPr>
          <w:rStyle w:val="7"/>
          <w:rFonts w:ascii="仿宋" w:hAnsi="仿宋" w:eastAsia="仿宋"/>
          <w:szCs w:val="32"/>
        </w:rPr>
        <w:t>万元，主要用于</w:t>
      </w:r>
      <w:r>
        <w:rPr>
          <w:rStyle w:val="7"/>
          <w:rFonts w:hint="eastAsia" w:ascii="仿宋" w:hAnsi="仿宋" w:eastAsia="仿宋"/>
          <w:szCs w:val="32"/>
        </w:rPr>
        <w:t>单位职工养老保险缴费支出</w:t>
      </w:r>
      <w:r>
        <w:rPr>
          <w:rStyle w:val="7"/>
          <w:rFonts w:ascii="仿宋" w:hAnsi="仿宋" w:eastAsia="仿宋"/>
          <w:szCs w:val="32"/>
        </w:rPr>
        <w:t>。与上年相比增加</w:t>
      </w:r>
      <w:r>
        <w:rPr>
          <w:rStyle w:val="7"/>
          <w:rFonts w:hint="eastAsia" w:ascii="仿宋" w:hAnsi="仿宋" w:eastAsia="仿宋"/>
          <w:szCs w:val="32"/>
        </w:rPr>
        <w:t>0.01</w:t>
      </w:r>
      <w:r>
        <w:rPr>
          <w:rStyle w:val="7"/>
          <w:rFonts w:ascii="仿宋" w:hAnsi="仿宋" w:eastAsia="仿宋"/>
          <w:szCs w:val="32"/>
        </w:rPr>
        <w:t>万元，增长</w:t>
      </w:r>
      <w:r>
        <w:rPr>
          <w:rStyle w:val="7"/>
          <w:rFonts w:hint="eastAsia" w:ascii="仿宋" w:hAnsi="仿宋" w:eastAsia="仿宋"/>
          <w:szCs w:val="32"/>
        </w:rPr>
        <w:t>0.13</w:t>
      </w:r>
      <w:r>
        <w:rPr>
          <w:rStyle w:val="7"/>
          <w:rFonts w:ascii="仿宋" w:hAnsi="仿宋" w:eastAsia="仿宋"/>
          <w:szCs w:val="32"/>
        </w:rPr>
        <w:t>%。主要原因是</w:t>
      </w:r>
      <w:r>
        <w:rPr>
          <w:rStyle w:val="7"/>
          <w:rFonts w:hint="eastAsia" w:ascii="仿宋" w:hAnsi="仿宋" w:eastAsia="仿宋"/>
          <w:szCs w:val="32"/>
        </w:rPr>
        <w:t>缴费基数调整</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2．</w:t>
      </w:r>
      <w:r>
        <w:rPr>
          <w:rStyle w:val="7"/>
          <w:rFonts w:hint="eastAsia" w:ascii="仿宋" w:hAnsi="仿宋" w:eastAsia="仿宋"/>
          <w:szCs w:val="32"/>
        </w:rPr>
        <w:t>住房保障</w:t>
      </w:r>
      <w:r>
        <w:rPr>
          <w:rStyle w:val="7"/>
          <w:rFonts w:ascii="仿宋" w:hAnsi="仿宋" w:eastAsia="仿宋"/>
          <w:szCs w:val="32"/>
        </w:rPr>
        <w:t>支出</w:t>
      </w:r>
      <w:r>
        <w:rPr>
          <w:rStyle w:val="7"/>
          <w:rFonts w:hint="eastAsia" w:ascii="仿宋" w:hAnsi="仿宋" w:eastAsia="仿宋"/>
          <w:szCs w:val="32"/>
        </w:rPr>
        <w:t>4.54</w:t>
      </w:r>
      <w:r>
        <w:rPr>
          <w:rStyle w:val="7"/>
          <w:rFonts w:ascii="仿宋" w:hAnsi="仿宋" w:eastAsia="仿宋"/>
          <w:szCs w:val="32"/>
        </w:rPr>
        <w:t>万元，主要用于</w:t>
      </w:r>
      <w:r>
        <w:rPr>
          <w:rStyle w:val="7"/>
          <w:rFonts w:hint="eastAsia" w:ascii="仿宋" w:hAnsi="仿宋" w:eastAsia="仿宋"/>
          <w:szCs w:val="32"/>
        </w:rPr>
        <w:t>单位职工住房公积金缴纳</w:t>
      </w:r>
      <w:r>
        <w:rPr>
          <w:rStyle w:val="7"/>
          <w:rFonts w:ascii="仿宋" w:hAnsi="仿宋" w:eastAsia="仿宋"/>
          <w:szCs w:val="32"/>
        </w:rPr>
        <w:t>。与上年相比增加</w:t>
      </w:r>
      <w:r>
        <w:rPr>
          <w:rStyle w:val="7"/>
          <w:rFonts w:hint="eastAsia" w:ascii="仿宋" w:hAnsi="仿宋" w:eastAsia="仿宋"/>
          <w:szCs w:val="32"/>
        </w:rPr>
        <w:t>2.72</w:t>
      </w:r>
      <w:r>
        <w:rPr>
          <w:rStyle w:val="7"/>
          <w:rFonts w:ascii="仿宋" w:hAnsi="仿宋" w:eastAsia="仿宋"/>
          <w:szCs w:val="32"/>
        </w:rPr>
        <w:t>万元，增长</w:t>
      </w:r>
      <w:r>
        <w:rPr>
          <w:rStyle w:val="7"/>
          <w:rFonts w:hint="eastAsia" w:ascii="仿宋" w:hAnsi="仿宋" w:eastAsia="仿宋"/>
          <w:szCs w:val="32"/>
        </w:rPr>
        <w:t>59.91</w:t>
      </w:r>
      <w:r>
        <w:rPr>
          <w:rStyle w:val="7"/>
          <w:rFonts w:ascii="仿宋" w:hAnsi="仿宋" w:eastAsia="仿宋"/>
          <w:szCs w:val="32"/>
        </w:rPr>
        <w:t>%。主要原因是</w:t>
      </w:r>
      <w:r>
        <w:rPr>
          <w:rStyle w:val="7"/>
          <w:rFonts w:hint="eastAsia" w:ascii="仿宋" w:hAnsi="仿宋" w:eastAsia="仿宋"/>
          <w:szCs w:val="32"/>
        </w:rPr>
        <w:t>缴费基数调整</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3．年末结转和结余</w:t>
      </w:r>
      <w:r>
        <w:rPr>
          <w:rStyle w:val="7"/>
          <w:rFonts w:hint="eastAsia" w:ascii="仿宋" w:hAnsi="仿宋" w:eastAsia="仿宋"/>
          <w:szCs w:val="32"/>
        </w:rPr>
        <w:t>0.44</w:t>
      </w:r>
      <w:r>
        <w:rPr>
          <w:rStyle w:val="7"/>
          <w:rFonts w:ascii="仿宋" w:hAnsi="仿宋" w:eastAsia="仿宋"/>
          <w:szCs w:val="32"/>
        </w:rPr>
        <w:t>万元，为单位结转下年的项目支出结转和结余。主要为单位本年度预算安排的项目无法按原计划实施，需要延迟到以后年度按有关规定使用的资金。</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4</w:t>
      </w:r>
      <w:r>
        <w:rPr>
          <w:rStyle w:val="7"/>
          <w:rFonts w:ascii="仿宋" w:hAnsi="仿宋" w:eastAsia="仿宋"/>
          <w:szCs w:val="32"/>
        </w:rPr>
        <w:t>．城乡社区支出</w:t>
      </w:r>
      <w:r>
        <w:rPr>
          <w:rStyle w:val="7"/>
          <w:rFonts w:hint="eastAsia" w:ascii="仿宋" w:hAnsi="仿宋" w:eastAsia="仿宋"/>
          <w:szCs w:val="32"/>
        </w:rPr>
        <w:t>61.19</w:t>
      </w:r>
      <w:r>
        <w:rPr>
          <w:rStyle w:val="7"/>
          <w:rFonts w:ascii="仿宋" w:hAnsi="仿宋" w:eastAsia="仿宋"/>
          <w:szCs w:val="32"/>
        </w:rPr>
        <w:t>万元</w:t>
      </w:r>
      <w:r>
        <w:rPr>
          <w:rStyle w:val="7"/>
          <w:rFonts w:hint="eastAsia" w:ascii="仿宋" w:hAnsi="仿宋" w:eastAsia="仿宋"/>
          <w:szCs w:val="32"/>
          <w:lang w:eastAsia="zh-CN"/>
        </w:rPr>
        <w:t>，</w:t>
      </w:r>
      <w:r>
        <w:rPr>
          <w:rStyle w:val="7"/>
          <w:rFonts w:hint="eastAsia" w:ascii="仿宋" w:hAnsi="仿宋" w:eastAsia="仿宋"/>
          <w:szCs w:val="32"/>
          <w:lang w:val="en-US" w:eastAsia="zh-CN"/>
        </w:rPr>
        <w:t>主要为太行钢厂征地和拆迁补偿。</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5</w:t>
      </w:r>
      <w:r>
        <w:rPr>
          <w:rStyle w:val="7"/>
          <w:rFonts w:ascii="仿宋" w:hAnsi="仿宋" w:eastAsia="仿宋"/>
          <w:szCs w:val="32"/>
        </w:rPr>
        <w:t>．</w:t>
      </w:r>
      <w:r>
        <w:rPr>
          <w:rStyle w:val="7"/>
          <w:rFonts w:hint="eastAsia" w:ascii="仿宋" w:hAnsi="仿宋" w:eastAsia="仿宋"/>
          <w:szCs w:val="32"/>
          <w:lang w:val="en-US" w:eastAsia="zh-CN"/>
        </w:rPr>
        <w:t>资源勘探信息等支出51.14万元，主要为单位资源勘探开发等支出。</w:t>
      </w:r>
    </w:p>
    <w:p>
      <w:pPr>
        <w:spacing w:line="550" w:lineRule="exact"/>
        <w:ind w:firstLine="640" w:firstLineChars="200"/>
        <w:rPr>
          <w:rStyle w:val="7"/>
          <w:rFonts w:ascii="仿宋" w:hAnsi="仿宋" w:eastAsia="仿宋"/>
          <w:szCs w:val="32"/>
        </w:rPr>
      </w:pPr>
    </w:p>
    <w:p>
      <w:pPr>
        <w:spacing w:line="550" w:lineRule="exact"/>
        <w:ind w:firstLine="643" w:firstLineChars="200"/>
        <w:rPr>
          <w:rStyle w:val="7"/>
          <w:rFonts w:ascii="仿宋" w:hAnsi="仿宋" w:eastAsia="仿宋"/>
          <w:b/>
          <w:szCs w:val="32"/>
        </w:rPr>
      </w:pPr>
      <w:r>
        <w:rPr>
          <w:rStyle w:val="7"/>
          <w:rFonts w:ascii="仿宋" w:hAnsi="仿宋" w:eastAsia="仿宋"/>
          <w:b/>
          <w:szCs w:val="32"/>
        </w:rPr>
        <w:t>二、收入决算表情况说明</w:t>
      </w:r>
    </w:p>
    <w:p>
      <w:pPr>
        <w:spacing w:line="550" w:lineRule="exact"/>
        <w:ind w:firstLine="640" w:firstLineChars="200"/>
        <w:rPr>
          <w:rStyle w:val="7"/>
          <w:rFonts w:ascii="仿宋" w:hAnsi="仿宋" w:eastAsia="仿宋"/>
          <w:i/>
          <w:szCs w:val="32"/>
        </w:rPr>
      </w:pPr>
      <w:r>
        <w:rPr>
          <w:rStyle w:val="7"/>
          <w:rFonts w:ascii="仿宋" w:hAnsi="仿宋" w:eastAsia="仿宋"/>
          <w:szCs w:val="32"/>
        </w:rPr>
        <w:t>本部门本年</w:t>
      </w:r>
      <w:r>
        <w:rPr>
          <w:rStyle w:val="7"/>
          <w:rFonts w:hint="eastAsia" w:ascii="仿宋" w:hAnsi="仿宋" w:eastAsia="仿宋"/>
          <w:szCs w:val="32"/>
          <w:lang w:val="en-US" w:eastAsia="zh-CN"/>
        </w:rPr>
        <w:t>度</w:t>
      </w:r>
      <w:r>
        <w:rPr>
          <w:rStyle w:val="7"/>
          <w:rFonts w:ascii="仿宋" w:hAnsi="仿宋" w:eastAsia="仿宋"/>
          <w:szCs w:val="32"/>
        </w:rPr>
        <w:t>收入合计</w:t>
      </w:r>
      <w:r>
        <w:rPr>
          <w:rStyle w:val="7"/>
          <w:rFonts w:hint="eastAsia" w:ascii="仿宋" w:hAnsi="仿宋" w:eastAsia="仿宋"/>
          <w:szCs w:val="32"/>
        </w:rPr>
        <w:t>125</w:t>
      </w:r>
      <w:r>
        <w:rPr>
          <w:rStyle w:val="7"/>
          <w:rFonts w:ascii="仿宋" w:hAnsi="仿宋" w:eastAsia="仿宋"/>
          <w:szCs w:val="32"/>
        </w:rPr>
        <w:t>万元，其中：财政拨款收入</w:t>
      </w:r>
      <w:r>
        <w:rPr>
          <w:rStyle w:val="7"/>
          <w:rFonts w:hint="eastAsia" w:ascii="仿宋" w:hAnsi="仿宋" w:eastAsia="仿宋"/>
          <w:szCs w:val="32"/>
        </w:rPr>
        <w:t>125</w:t>
      </w:r>
      <w:r>
        <w:rPr>
          <w:rStyle w:val="7"/>
          <w:rFonts w:ascii="仿宋" w:hAnsi="仿宋" w:eastAsia="仿宋"/>
          <w:szCs w:val="32"/>
        </w:rPr>
        <w:t>万元，占</w:t>
      </w:r>
      <w:r>
        <w:rPr>
          <w:rStyle w:val="7"/>
          <w:rFonts w:hint="eastAsia" w:ascii="仿宋" w:hAnsi="仿宋" w:eastAsia="仿宋"/>
          <w:szCs w:val="32"/>
        </w:rPr>
        <w:t>100</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三、支出决算表情况说明</w:t>
      </w:r>
    </w:p>
    <w:p>
      <w:pPr>
        <w:spacing w:line="550" w:lineRule="exact"/>
        <w:ind w:left="160" w:leftChars="50" w:firstLine="320" w:firstLineChars="100"/>
        <w:rPr>
          <w:rStyle w:val="7"/>
          <w:rFonts w:ascii="仿宋" w:hAnsi="仿宋" w:eastAsia="仿宋"/>
          <w:i/>
          <w:szCs w:val="32"/>
        </w:rPr>
      </w:pPr>
      <w:r>
        <w:rPr>
          <w:rStyle w:val="7"/>
          <w:rFonts w:ascii="仿宋" w:hAnsi="仿宋" w:eastAsia="仿宋"/>
          <w:szCs w:val="32"/>
        </w:rPr>
        <w:t>本部门本年</w:t>
      </w:r>
      <w:r>
        <w:rPr>
          <w:rStyle w:val="7"/>
          <w:rFonts w:hint="eastAsia" w:ascii="仿宋" w:hAnsi="仿宋" w:eastAsia="仿宋"/>
          <w:szCs w:val="32"/>
          <w:lang w:val="en-US" w:eastAsia="zh-CN"/>
        </w:rPr>
        <w:t>度</w:t>
      </w:r>
      <w:r>
        <w:rPr>
          <w:rStyle w:val="7"/>
          <w:rFonts w:ascii="仿宋" w:hAnsi="仿宋" w:eastAsia="仿宋"/>
          <w:szCs w:val="32"/>
        </w:rPr>
        <w:t>支出合计</w:t>
      </w:r>
      <w:r>
        <w:rPr>
          <w:rStyle w:val="7"/>
          <w:rFonts w:hint="eastAsia" w:ascii="仿宋" w:hAnsi="仿宋" w:eastAsia="仿宋"/>
          <w:szCs w:val="32"/>
        </w:rPr>
        <w:t>125</w:t>
      </w:r>
      <w:r>
        <w:rPr>
          <w:rStyle w:val="7"/>
          <w:rFonts w:ascii="仿宋" w:hAnsi="仿宋" w:eastAsia="仿宋"/>
          <w:szCs w:val="32"/>
        </w:rPr>
        <w:t>万元，其中：基本支出</w:t>
      </w:r>
      <w:r>
        <w:rPr>
          <w:rStyle w:val="7"/>
          <w:rFonts w:hint="eastAsia" w:ascii="仿宋" w:hAnsi="仿宋" w:eastAsia="仿宋"/>
          <w:szCs w:val="32"/>
        </w:rPr>
        <w:t>63.37</w:t>
      </w:r>
      <w:r>
        <w:rPr>
          <w:rStyle w:val="7"/>
          <w:rFonts w:ascii="仿宋" w:hAnsi="仿宋" w:eastAsia="仿宋"/>
          <w:szCs w:val="32"/>
        </w:rPr>
        <w:t>万元，占</w:t>
      </w:r>
      <w:r>
        <w:rPr>
          <w:rStyle w:val="7"/>
          <w:rFonts w:hint="eastAsia" w:ascii="仿宋" w:hAnsi="仿宋" w:eastAsia="仿宋"/>
          <w:szCs w:val="32"/>
        </w:rPr>
        <w:t>50.7</w:t>
      </w:r>
      <w:r>
        <w:rPr>
          <w:rStyle w:val="7"/>
          <w:rFonts w:ascii="仿宋" w:hAnsi="仿宋" w:eastAsia="仿宋"/>
          <w:szCs w:val="32"/>
        </w:rPr>
        <w:t>%；项目支出</w:t>
      </w:r>
      <w:r>
        <w:rPr>
          <w:rStyle w:val="7"/>
          <w:rFonts w:hint="eastAsia" w:ascii="仿宋" w:hAnsi="仿宋" w:eastAsia="仿宋"/>
          <w:szCs w:val="32"/>
        </w:rPr>
        <w:t>61.19</w:t>
      </w:r>
      <w:r>
        <w:rPr>
          <w:rStyle w:val="7"/>
          <w:rFonts w:ascii="仿宋" w:hAnsi="仿宋" w:eastAsia="仿宋"/>
          <w:szCs w:val="32"/>
        </w:rPr>
        <w:t>万元，占</w:t>
      </w:r>
      <w:r>
        <w:rPr>
          <w:rStyle w:val="7"/>
          <w:rFonts w:hint="eastAsia" w:ascii="仿宋" w:hAnsi="仿宋" w:eastAsia="仿宋"/>
          <w:szCs w:val="32"/>
        </w:rPr>
        <w:t>48.95</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四、财政拨款收入支出决算总表情况说明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本部门本年度财政拨款收入总决算</w:t>
      </w:r>
      <w:r>
        <w:rPr>
          <w:rStyle w:val="7"/>
          <w:rFonts w:hint="eastAsia" w:ascii="仿宋" w:hAnsi="仿宋" w:eastAsia="仿宋"/>
          <w:szCs w:val="32"/>
        </w:rPr>
        <w:t>125</w:t>
      </w:r>
      <w:r>
        <w:rPr>
          <w:rStyle w:val="7"/>
          <w:rFonts w:ascii="仿宋" w:hAnsi="仿宋" w:eastAsia="仿宋"/>
          <w:szCs w:val="32"/>
        </w:rPr>
        <w:t>万元、支出总决算</w:t>
      </w:r>
      <w:r>
        <w:rPr>
          <w:rStyle w:val="7"/>
          <w:rFonts w:hint="eastAsia" w:ascii="仿宋" w:hAnsi="仿宋" w:eastAsia="仿宋"/>
          <w:szCs w:val="32"/>
        </w:rPr>
        <w:t>125</w:t>
      </w:r>
      <w:r>
        <w:rPr>
          <w:rStyle w:val="7"/>
          <w:rFonts w:ascii="仿宋" w:hAnsi="仿宋" w:eastAsia="仿宋"/>
          <w:szCs w:val="32"/>
        </w:rPr>
        <w:t>万元。与上年相比，财政拨款收入增加</w:t>
      </w:r>
      <w:r>
        <w:rPr>
          <w:rStyle w:val="7"/>
          <w:rFonts w:hint="eastAsia" w:ascii="仿宋" w:hAnsi="仿宋" w:eastAsia="仿宋"/>
          <w:szCs w:val="32"/>
        </w:rPr>
        <w:t>0.97</w:t>
      </w:r>
      <w:r>
        <w:rPr>
          <w:rStyle w:val="7"/>
          <w:rFonts w:ascii="仿宋" w:hAnsi="仿宋" w:eastAsia="仿宋"/>
          <w:szCs w:val="32"/>
        </w:rPr>
        <w:t>万元，增长</w:t>
      </w:r>
      <w:r>
        <w:rPr>
          <w:rStyle w:val="7"/>
          <w:rFonts w:hint="eastAsia" w:ascii="仿宋" w:hAnsi="仿宋" w:eastAsia="仿宋"/>
          <w:szCs w:val="32"/>
        </w:rPr>
        <w:t>0.77</w:t>
      </w:r>
      <w:r>
        <w:rPr>
          <w:rStyle w:val="7"/>
          <w:rFonts w:ascii="仿宋" w:hAnsi="仿宋" w:eastAsia="仿宋"/>
          <w:szCs w:val="32"/>
        </w:rPr>
        <w:t>%；支出增加</w:t>
      </w:r>
      <w:r>
        <w:rPr>
          <w:rStyle w:val="7"/>
          <w:rFonts w:hint="eastAsia" w:ascii="仿宋" w:hAnsi="仿宋" w:eastAsia="仿宋"/>
          <w:szCs w:val="32"/>
        </w:rPr>
        <w:t>0.97</w:t>
      </w:r>
      <w:r>
        <w:rPr>
          <w:rStyle w:val="7"/>
          <w:rFonts w:ascii="仿宋" w:hAnsi="仿宋" w:eastAsia="仿宋"/>
          <w:szCs w:val="32"/>
        </w:rPr>
        <w:t>万元，增长</w:t>
      </w:r>
      <w:r>
        <w:rPr>
          <w:rStyle w:val="7"/>
          <w:rFonts w:hint="eastAsia" w:ascii="仿宋" w:hAnsi="仿宋" w:eastAsia="仿宋"/>
          <w:szCs w:val="32"/>
        </w:rPr>
        <w:t>0.77</w:t>
      </w:r>
      <w:r>
        <w:rPr>
          <w:rStyle w:val="7"/>
          <w:rFonts w:ascii="仿宋" w:hAnsi="仿宋" w:eastAsia="仿宋"/>
          <w:szCs w:val="32"/>
        </w:rPr>
        <w:t>%。主要原因是</w:t>
      </w:r>
      <w:r>
        <w:rPr>
          <w:rStyle w:val="7"/>
          <w:rFonts w:hint="eastAsia" w:ascii="仿宋" w:hAnsi="仿宋" w:eastAsia="仿宋"/>
          <w:szCs w:val="32"/>
        </w:rPr>
        <w:t>人员正常增资</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五、一般公共预算财政拨款支出决算表</w:t>
      </w:r>
      <w:r>
        <w:rPr>
          <w:rStyle w:val="7"/>
          <w:rFonts w:hint="eastAsia" w:ascii="仿宋" w:hAnsi="仿宋" w:eastAsia="仿宋"/>
          <w:b/>
          <w:szCs w:val="32"/>
        </w:rPr>
        <w:t>（一）</w:t>
      </w:r>
      <w:r>
        <w:rPr>
          <w:rStyle w:val="7"/>
          <w:rFonts w:ascii="仿宋" w:hAnsi="仿宋" w:eastAsia="仿宋"/>
          <w:b/>
          <w:szCs w:val="32"/>
        </w:rPr>
        <w:t>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w:t>
      </w:r>
      <w:r>
        <w:rPr>
          <w:rStyle w:val="7"/>
          <w:rFonts w:hint="eastAsia" w:ascii="仿宋" w:hAnsi="仿宋" w:eastAsia="仿宋"/>
          <w:szCs w:val="32"/>
          <w:lang w:val="en-US" w:eastAsia="zh-CN"/>
        </w:rPr>
        <w:t>度</w:t>
      </w:r>
      <w:r>
        <w:rPr>
          <w:rStyle w:val="7"/>
          <w:rFonts w:ascii="仿宋" w:hAnsi="仿宋" w:eastAsia="仿宋"/>
          <w:szCs w:val="32"/>
        </w:rPr>
        <w:t>财政拨款支出</w:t>
      </w:r>
      <w:r>
        <w:rPr>
          <w:rStyle w:val="7"/>
          <w:rFonts w:hint="eastAsia" w:ascii="仿宋" w:hAnsi="仿宋" w:eastAsia="仿宋"/>
          <w:szCs w:val="32"/>
        </w:rPr>
        <w:t>125</w:t>
      </w:r>
      <w:r>
        <w:rPr>
          <w:rStyle w:val="7"/>
          <w:rFonts w:ascii="仿宋" w:hAnsi="仿宋" w:eastAsia="仿宋"/>
          <w:szCs w:val="32"/>
        </w:rPr>
        <w:t>万元，占本年支出合计的</w:t>
      </w:r>
      <w:r>
        <w:rPr>
          <w:rStyle w:val="7"/>
          <w:rFonts w:hint="eastAsia" w:ascii="仿宋" w:hAnsi="仿宋" w:eastAsia="仿宋"/>
          <w:szCs w:val="32"/>
        </w:rPr>
        <w:t>100</w:t>
      </w:r>
      <w:r>
        <w:rPr>
          <w:rStyle w:val="7"/>
          <w:rFonts w:hint="eastAsia" w:ascii="仿宋" w:hAnsi="仿宋" w:eastAsia="仿宋"/>
          <w:szCs w:val="32"/>
          <w:lang w:val="en-US" w:eastAsia="zh-CN"/>
        </w:rPr>
        <w:t>%</w:t>
      </w:r>
      <w:r>
        <w:rPr>
          <w:rStyle w:val="7"/>
          <w:rFonts w:ascii="仿宋" w:hAnsi="仿宋" w:eastAsia="仿宋"/>
          <w:szCs w:val="32"/>
        </w:rPr>
        <w:t>。与上年相比，财政拨款支出增加</w:t>
      </w:r>
      <w:r>
        <w:rPr>
          <w:rStyle w:val="7"/>
          <w:rFonts w:hint="eastAsia" w:ascii="仿宋" w:hAnsi="仿宋" w:eastAsia="仿宋"/>
          <w:szCs w:val="32"/>
        </w:rPr>
        <w:t>0.97</w:t>
      </w:r>
      <w:r>
        <w:rPr>
          <w:rStyle w:val="7"/>
          <w:rFonts w:ascii="仿宋" w:hAnsi="仿宋" w:eastAsia="仿宋"/>
          <w:szCs w:val="32"/>
        </w:rPr>
        <w:t>万元，增长</w:t>
      </w:r>
      <w:r>
        <w:rPr>
          <w:rStyle w:val="7"/>
          <w:rFonts w:hint="eastAsia" w:ascii="仿宋" w:hAnsi="仿宋" w:eastAsia="仿宋"/>
          <w:szCs w:val="32"/>
        </w:rPr>
        <w:t>0.77</w:t>
      </w:r>
      <w:r>
        <w:rPr>
          <w:rStyle w:val="7"/>
          <w:rFonts w:ascii="仿宋" w:hAnsi="仿宋" w:eastAsia="仿宋"/>
          <w:szCs w:val="32"/>
        </w:rPr>
        <w:t>%。主要原因是</w:t>
      </w:r>
      <w:r>
        <w:rPr>
          <w:rStyle w:val="7"/>
          <w:rFonts w:hint="eastAsia" w:ascii="仿宋" w:hAnsi="仿宋" w:eastAsia="仿宋"/>
          <w:szCs w:val="32"/>
        </w:rPr>
        <w:t>人员正常增资和人员经费支出增加</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本部门本年度财政拨款支出年初预算为</w:t>
      </w:r>
      <w:r>
        <w:rPr>
          <w:rStyle w:val="7"/>
          <w:rFonts w:hint="eastAsia" w:ascii="仿宋" w:hAnsi="仿宋" w:eastAsia="仿宋"/>
          <w:szCs w:val="32"/>
        </w:rPr>
        <w:t>124</w:t>
      </w:r>
      <w:r>
        <w:rPr>
          <w:rStyle w:val="7"/>
          <w:rFonts w:ascii="仿宋" w:hAnsi="仿宋" w:eastAsia="仿宋"/>
          <w:szCs w:val="32"/>
        </w:rPr>
        <w:t>万元，支出决算为</w:t>
      </w:r>
      <w:r>
        <w:rPr>
          <w:rStyle w:val="7"/>
          <w:rFonts w:hint="eastAsia" w:ascii="仿宋" w:hAnsi="仿宋" w:eastAsia="仿宋"/>
          <w:szCs w:val="32"/>
        </w:rPr>
        <w:t>125</w:t>
      </w:r>
      <w:r>
        <w:rPr>
          <w:rStyle w:val="7"/>
          <w:rFonts w:ascii="仿宋" w:hAnsi="仿宋" w:eastAsia="仿宋"/>
          <w:szCs w:val="32"/>
        </w:rPr>
        <w:t>万元，完成年初预算的</w:t>
      </w:r>
      <w:r>
        <w:rPr>
          <w:rStyle w:val="7"/>
          <w:rFonts w:hint="eastAsia" w:ascii="仿宋" w:hAnsi="仿宋" w:eastAsia="仿宋"/>
          <w:szCs w:val="32"/>
        </w:rPr>
        <w:t>100.18</w:t>
      </w:r>
      <w:r>
        <w:rPr>
          <w:rStyle w:val="7"/>
          <w:rFonts w:ascii="仿宋" w:hAnsi="仿宋" w:eastAsia="仿宋"/>
          <w:szCs w:val="32"/>
        </w:rPr>
        <w:t>%。决算数大于年初预算的主要原因是</w:t>
      </w:r>
      <w:r>
        <w:rPr>
          <w:rStyle w:val="7"/>
          <w:rFonts w:hint="eastAsia" w:ascii="仿宋" w:hAnsi="仿宋" w:eastAsia="仿宋"/>
          <w:szCs w:val="32"/>
        </w:rPr>
        <w:t>人员基数调整</w:t>
      </w:r>
      <w:r>
        <w:rPr>
          <w:rStyle w:val="7"/>
          <w:rFonts w:ascii="仿宋" w:hAnsi="仿宋" w:eastAsia="仿宋"/>
          <w:szCs w:val="32"/>
        </w:rPr>
        <w:t xml:space="preserve">。其中： </w:t>
      </w:r>
    </w:p>
    <w:p>
      <w:pPr>
        <w:spacing w:line="550" w:lineRule="exact"/>
        <w:ind w:firstLine="640" w:firstLineChars="200"/>
        <w:rPr>
          <w:rStyle w:val="7"/>
          <w:rFonts w:ascii="仿宋" w:hAnsi="仿宋" w:eastAsia="仿宋"/>
          <w:szCs w:val="32"/>
        </w:rPr>
      </w:pPr>
      <w:r>
        <w:rPr>
          <w:rStyle w:val="7"/>
          <w:rFonts w:ascii="仿宋" w:hAnsi="仿宋" w:eastAsia="仿宋"/>
          <w:szCs w:val="32"/>
        </w:rPr>
        <w:t>（一）</w:t>
      </w:r>
      <w:r>
        <w:rPr>
          <w:rStyle w:val="7"/>
          <w:rFonts w:hint="eastAsia" w:ascii="仿宋" w:hAnsi="仿宋" w:eastAsia="仿宋"/>
          <w:szCs w:val="32"/>
        </w:rPr>
        <w:t>社会保障和就业支出</w:t>
      </w:r>
      <w:r>
        <w:rPr>
          <w:rStyle w:val="7"/>
          <w:rFonts w:ascii="仿宋" w:hAnsi="仿宋" w:eastAsia="仿宋"/>
          <w:szCs w:val="32"/>
        </w:rPr>
        <w:t>（类）</w:t>
      </w:r>
    </w:p>
    <w:p>
      <w:pPr>
        <w:spacing w:line="550" w:lineRule="exact"/>
        <w:ind w:firstLine="640" w:firstLineChars="200"/>
        <w:rPr>
          <w:rStyle w:val="7"/>
          <w:rFonts w:ascii="仿宋" w:hAnsi="仿宋" w:eastAsia="仿宋"/>
          <w:szCs w:val="32"/>
        </w:rPr>
      </w:pPr>
      <w:r>
        <w:rPr>
          <w:rStyle w:val="7"/>
          <w:rFonts w:ascii="仿宋" w:hAnsi="仿宋" w:eastAsia="仿宋"/>
          <w:szCs w:val="32"/>
        </w:rPr>
        <w:t>1．</w:t>
      </w:r>
      <w:r>
        <w:rPr>
          <w:rStyle w:val="7"/>
          <w:rFonts w:hint="eastAsia" w:ascii="仿宋" w:hAnsi="仿宋" w:eastAsia="仿宋"/>
          <w:szCs w:val="32"/>
        </w:rPr>
        <w:t>行政事业单位离退休</w:t>
      </w:r>
      <w:r>
        <w:rPr>
          <w:rStyle w:val="7"/>
          <w:rFonts w:ascii="仿宋" w:hAnsi="仿宋" w:eastAsia="仿宋"/>
          <w:szCs w:val="32"/>
        </w:rPr>
        <w:t>（款）</w:t>
      </w:r>
      <w:r>
        <w:rPr>
          <w:rStyle w:val="7"/>
          <w:rFonts w:hint="eastAsia" w:ascii="仿宋" w:hAnsi="仿宋" w:eastAsia="仿宋"/>
          <w:szCs w:val="32"/>
        </w:rPr>
        <w:t>机关事业单位基本养老保险缴费支出</w:t>
      </w:r>
      <w:r>
        <w:rPr>
          <w:rStyle w:val="7"/>
          <w:rFonts w:ascii="仿宋" w:hAnsi="仿宋" w:eastAsia="仿宋"/>
          <w:szCs w:val="32"/>
        </w:rPr>
        <w:t>（项）。年初预算为</w:t>
      </w:r>
      <w:r>
        <w:rPr>
          <w:rStyle w:val="7"/>
          <w:rFonts w:hint="eastAsia" w:ascii="仿宋" w:hAnsi="仿宋" w:eastAsia="仿宋"/>
          <w:szCs w:val="32"/>
        </w:rPr>
        <w:t>7.68</w:t>
      </w:r>
      <w:r>
        <w:rPr>
          <w:rStyle w:val="7"/>
          <w:rFonts w:ascii="仿宋" w:hAnsi="仿宋" w:eastAsia="仿宋"/>
          <w:szCs w:val="32"/>
        </w:rPr>
        <w:t>万元，支出决算为</w:t>
      </w:r>
      <w:r>
        <w:rPr>
          <w:rStyle w:val="7"/>
          <w:rFonts w:hint="eastAsia" w:ascii="仿宋" w:hAnsi="仿宋" w:eastAsia="仿宋"/>
          <w:szCs w:val="32"/>
        </w:rPr>
        <w:t>7.69</w:t>
      </w:r>
      <w:r>
        <w:rPr>
          <w:rStyle w:val="7"/>
          <w:rFonts w:ascii="仿宋" w:hAnsi="仿宋" w:eastAsia="仿宋"/>
          <w:szCs w:val="32"/>
        </w:rPr>
        <w:t>万元，完成年初预算</w:t>
      </w:r>
      <w:r>
        <w:rPr>
          <w:rStyle w:val="7"/>
          <w:rFonts w:hint="eastAsia" w:ascii="仿宋" w:hAnsi="仿宋" w:eastAsia="仿宋"/>
          <w:szCs w:val="32"/>
        </w:rPr>
        <w:t>的100.1</w:t>
      </w:r>
      <w:r>
        <w:rPr>
          <w:rStyle w:val="7"/>
          <w:rFonts w:ascii="仿宋" w:hAnsi="仿宋" w:eastAsia="仿宋"/>
          <w:szCs w:val="32"/>
        </w:rPr>
        <w:t>%。决算数大于预算数的主要原因</w:t>
      </w:r>
      <w:r>
        <w:rPr>
          <w:rStyle w:val="7"/>
          <w:rFonts w:hint="eastAsia" w:ascii="仿宋" w:hAnsi="仿宋" w:eastAsia="仿宋"/>
          <w:szCs w:val="32"/>
        </w:rPr>
        <w:t>按实际缴费基数支出</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（二）</w:t>
      </w:r>
      <w:r>
        <w:rPr>
          <w:rStyle w:val="7"/>
          <w:rFonts w:hint="eastAsia" w:ascii="仿宋" w:hAnsi="仿宋" w:eastAsia="仿宋"/>
          <w:szCs w:val="32"/>
        </w:rPr>
        <w:t>住房保障类</w:t>
      </w:r>
      <w:r>
        <w:rPr>
          <w:rStyle w:val="7"/>
          <w:rFonts w:ascii="仿宋" w:hAnsi="仿宋" w:eastAsia="仿宋"/>
          <w:szCs w:val="32"/>
        </w:rPr>
        <w:t>（类）</w:t>
      </w:r>
    </w:p>
    <w:p>
      <w:pPr>
        <w:spacing w:line="550" w:lineRule="exact"/>
        <w:ind w:firstLine="640" w:firstLineChars="200"/>
        <w:rPr>
          <w:rStyle w:val="7"/>
          <w:rFonts w:ascii="仿宋" w:hAnsi="仿宋" w:eastAsia="仿宋"/>
          <w:szCs w:val="32"/>
        </w:rPr>
      </w:pPr>
      <w:r>
        <w:rPr>
          <w:rStyle w:val="7"/>
          <w:rFonts w:ascii="仿宋" w:hAnsi="仿宋" w:eastAsia="仿宋"/>
          <w:szCs w:val="32"/>
        </w:rPr>
        <w:t>1．</w:t>
      </w:r>
      <w:r>
        <w:rPr>
          <w:rStyle w:val="7"/>
          <w:rFonts w:hint="eastAsia" w:ascii="仿宋" w:hAnsi="仿宋" w:eastAsia="仿宋"/>
          <w:szCs w:val="32"/>
        </w:rPr>
        <w:t>住房改革支出</w:t>
      </w:r>
      <w:r>
        <w:rPr>
          <w:rStyle w:val="7"/>
          <w:rFonts w:ascii="仿宋" w:hAnsi="仿宋" w:eastAsia="仿宋"/>
          <w:szCs w:val="32"/>
        </w:rPr>
        <w:t>（款）</w:t>
      </w:r>
      <w:r>
        <w:rPr>
          <w:rStyle w:val="7"/>
          <w:rFonts w:hint="eastAsia" w:ascii="仿宋" w:hAnsi="仿宋" w:eastAsia="仿宋"/>
          <w:szCs w:val="32"/>
        </w:rPr>
        <w:t>住房公积金</w:t>
      </w:r>
      <w:r>
        <w:rPr>
          <w:rStyle w:val="7"/>
          <w:rFonts w:ascii="仿宋" w:hAnsi="仿宋" w:eastAsia="仿宋"/>
          <w:szCs w:val="32"/>
        </w:rPr>
        <w:t>（项）。年初预算为</w:t>
      </w:r>
      <w:r>
        <w:rPr>
          <w:rStyle w:val="7"/>
          <w:rFonts w:hint="eastAsia" w:ascii="仿宋" w:hAnsi="仿宋" w:eastAsia="仿宋"/>
          <w:szCs w:val="32"/>
          <w:lang w:val="en-US" w:eastAsia="zh-CN"/>
        </w:rPr>
        <w:t>4.3</w:t>
      </w:r>
      <w:r>
        <w:rPr>
          <w:rStyle w:val="7"/>
          <w:rFonts w:ascii="仿宋" w:hAnsi="仿宋" w:eastAsia="仿宋"/>
          <w:szCs w:val="32"/>
        </w:rPr>
        <w:t>万元，支出决算为</w:t>
      </w:r>
      <w:r>
        <w:rPr>
          <w:rStyle w:val="7"/>
          <w:rFonts w:hint="eastAsia" w:ascii="仿宋" w:hAnsi="仿宋" w:eastAsia="仿宋"/>
          <w:szCs w:val="32"/>
        </w:rPr>
        <w:t>4.54</w:t>
      </w:r>
      <w:r>
        <w:rPr>
          <w:rStyle w:val="7"/>
          <w:rFonts w:ascii="仿宋" w:hAnsi="仿宋" w:eastAsia="仿宋"/>
          <w:szCs w:val="32"/>
        </w:rPr>
        <w:t>万元，完成年初预算的</w:t>
      </w:r>
      <w:r>
        <w:rPr>
          <w:rStyle w:val="7"/>
          <w:rFonts w:hint="eastAsia" w:ascii="仿宋" w:hAnsi="仿宋" w:eastAsia="仿宋"/>
          <w:szCs w:val="32"/>
          <w:lang w:val="en-US" w:eastAsia="zh-CN"/>
        </w:rPr>
        <w:t>104.65</w:t>
      </w:r>
      <w:r>
        <w:rPr>
          <w:rStyle w:val="7"/>
          <w:rFonts w:ascii="仿宋" w:hAnsi="仿宋" w:eastAsia="仿宋"/>
          <w:szCs w:val="32"/>
        </w:rPr>
        <w:t>%。决算数大于预算数的主要原因</w:t>
      </w:r>
      <w:r>
        <w:rPr>
          <w:rStyle w:val="7"/>
          <w:rFonts w:hint="eastAsia" w:ascii="仿宋" w:hAnsi="仿宋" w:eastAsia="仿宋"/>
          <w:szCs w:val="32"/>
        </w:rPr>
        <w:t>按实际缴费基数支出</w:t>
      </w:r>
      <w:r>
        <w:rPr>
          <w:rStyle w:val="7"/>
          <w:rFonts w:ascii="仿宋" w:hAnsi="仿宋" w:eastAsia="仿宋"/>
          <w:szCs w:val="32"/>
        </w:rPr>
        <w:t>。</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eastAsia="zh-CN"/>
        </w:rPr>
        <w:t>（</w:t>
      </w:r>
      <w:r>
        <w:rPr>
          <w:rStyle w:val="7"/>
          <w:rFonts w:hint="eastAsia" w:ascii="仿宋" w:hAnsi="仿宋" w:eastAsia="仿宋"/>
          <w:szCs w:val="32"/>
          <w:lang w:val="en-US" w:eastAsia="zh-CN"/>
        </w:rPr>
        <w:t>三</w:t>
      </w:r>
      <w:r>
        <w:rPr>
          <w:rStyle w:val="7"/>
          <w:rFonts w:hint="eastAsia" w:ascii="仿宋" w:hAnsi="仿宋" w:eastAsia="仿宋"/>
          <w:szCs w:val="32"/>
          <w:lang w:eastAsia="zh-CN"/>
        </w:rPr>
        <w:t>）城乡社区支出</w:t>
      </w:r>
      <w:r>
        <w:rPr>
          <w:rStyle w:val="7"/>
          <w:rFonts w:hint="eastAsia" w:ascii="仿宋" w:hAnsi="仿宋" w:eastAsia="仿宋"/>
          <w:szCs w:val="32"/>
          <w:lang w:val="en-US" w:eastAsia="zh-CN"/>
        </w:rPr>
        <w:t>（类）</w:t>
      </w:r>
    </w:p>
    <w:p>
      <w:pPr>
        <w:spacing w:line="550" w:lineRule="exact"/>
        <w:ind w:firstLine="640" w:firstLineChars="200"/>
        <w:rPr>
          <w:rStyle w:val="7"/>
          <w:rFonts w:hint="eastAsia" w:ascii="仿宋" w:hAnsi="仿宋" w:eastAsia="仿宋"/>
          <w:szCs w:val="32"/>
          <w:lang w:eastAsia="zh-CN"/>
        </w:rPr>
      </w:pPr>
      <w:r>
        <w:rPr>
          <w:rStyle w:val="7"/>
          <w:rFonts w:hint="eastAsia" w:ascii="仿宋" w:hAnsi="仿宋" w:eastAsia="仿宋"/>
          <w:szCs w:val="32"/>
          <w:lang w:val="en-US" w:eastAsia="zh-CN"/>
        </w:rPr>
        <w:t>1.</w:t>
      </w:r>
      <w:r>
        <w:rPr>
          <w:rStyle w:val="7"/>
          <w:rFonts w:ascii="仿宋" w:hAnsi="仿宋" w:eastAsia="仿宋"/>
          <w:szCs w:val="32"/>
        </w:rPr>
        <w:t>政府住房基金及对应专项债务收入安排的支出（款）</w:t>
      </w:r>
      <w:r>
        <w:rPr>
          <w:rStyle w:val="7"/>
          <w:rFonts w:hint="eastAsia" w:ascii="仿宋" w:hAnsi="仿宋" w:eastAsia="仿宋"/>
          <w:szCs w:val="32"/>
        </w:rPr>
        <w:t>国家赔偿费用</w:t>
      </w:r>
      <w:r>
        <w:rPr>
          <w:rStyle w:val="7"/>
          <w:rFonts w:ascii="仿宋" w:hAnsi="仿宋" w:eastAsia="仿宋"/>
          <w:szCs w:val="32"/>
        </w:rPr>
        <w:t>支出（项）</w:t>
      </w:r>
      <w:r>
        <w:rPr>
          <w:rStyle w:val="7"/>
          <w:rFonts w:hint="eastAsia" w:ascii="仿宋" w:hAnsi="仿宋" w:eastAsia="仿宋"/>
          <w:szCs w:val="32"/>
          <w:lang w:eastAsia="zh-CN"/>
        </w:rPr>
        <w:t>年初预算</w:t>
      </w:r>
      <w:r>
        <w:rPr>
          <w:rStyle w:val="7"/>
          <w:rFonts w:hint="eastAsia" w:ascii="仿宋" w:hAnsi="仿宋" w:eastAsia="仿宋"/>
          <w:szCs w:val="32"/>
        </w:rPr>
        <w:t>61.19</w:t>
      </w:r>
      <w:r>
        <w:rPr>
          <w:rStyle w:val="7"/>
          <w:rFonts w:ascii="仿宋" w:hAnsi="仿宋" w:eastAsia="仿宋"/>
          <w:szCs w:val="32"/>
        </w:rPr>
        <w:t>万元，主要是用于</w:t>
      </w:r>
      <w:r>
        <w:rPr>
          <w:rStyle w:val="7"/>
          <w:rFonts w:hint="eastAsia" w:ascii="仿宋" w:hAnsi="仿宋" w:eastAsia="仿宋"/>
          <w:szCs w:val="32"/>
        </w:rPr>
        <w:t>太行钢厂征地和拆迁补偿</w:t>
      </w:r>
      <w:r>
        <w:rPr>
          <w:rStyle w:val="7"/>
          <w:rFonts w:hint="eastAsia" w:ascii="仿宋" w:hAnsi="仿宋" w:eastAsia="仿宋"/>
          <w:szCs w:val="32"/>
          <w:lang w:eastAsia="zh-CN"/>
        </w:rPr>
        <w:t>。</w:t>
      </w:r>
    </w:p>
    <w:p>
      <w:pPr>
        <w:spacing w:line="550" w:lineRule="exact"/>
        <w:ind w:firstLine="640" w:firstLineChars="200"/>
        <w:rPr>
          <w:rStyle w:val="7"/>
          <w:rFonts w:hint="eastAsia" w:ascii="仿宋" w:hAnsi="仿宋" w:eastAsia="仿宋"/>
          <w:szCs w:val="32"/>
          <w:lang w:eastAsia="zh-CN"/>
        </w:rPr>
      </w:pPr>
      <w:r>
        <w:rPr>
          <w:rStyle w:val="7"/>
          <w:rFonts w:hint="eastAsia" w:ascii="仿宋" w:hAnsi="仿宋" w:eastAsia="仿宋"/>
          <w:szCs w:val="32"/>
          <w:lang w:eastAsia="zh-CN"/>
        </w:rPr>
        <w:t>（四）资源勘探信息等支出（类）</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1.资源勘探开发支出（款）行政运行（项）年初预算50.09万元，主要用于单位资源勘探开发支出。</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2.资源勘探开发支出（款）其他资源勘探业支出（项）年初预算1.06万元，主要用于单位其他起源勘探业支出。</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（五）结余分配（类）</w:t>
      </w:r>
    </w:p>
    <w:p>
      <w:pPr>
        <w:spacing w:line="550" w:lineRule="exact"/>
        <w:ind w:firstLine="640" w:firstLineChars="200"/>
        <w:rPr>
          <w:rStyle w:val="7"/>
          <w:rFonts w:hint="default" w:ascii="仿宋" w:hAnsi="仿宋" w:eastAsia="仿宋"/>
          <w:szCs w:val="32"/>
          <w:lang w:val="en-US" w:eastAsia="zh-CN"/>
        </w:rPr>
      </w:pPr>
      <w:r>
        <w:rPr>
          <w:rStyle w:val="7"/>
          <w:rFonts w:hint="eastAsia" w:ascii="仿宋" w:hAnsi="仿宋" w:eastAsia="仿宋"/>
          <w:szCs w:val="32"/>
          <w:lang w:val="en-US" w:eastAsia="zh-CN"/>
        </w:rPr>
        <w:t>年末结余和结转0.44万元。</w:t>
      </w:r>
    </w:p>
    <w:p>
      <w:pPr>
        <w:spacing w:line="550" w:lineRule="exact"/>
        <w:ind w:firstLine="640" w:firstLineChars="200"/>
        <w:rPr>
          <w:rStyle w:val="7"/>
          <w:rFonts w:ascii="仿宋" w:hAnsi="仿宋" w:eastAsia="仿宋"/>
          <w:szCs w:val="32"/>
        </w:rPr>
      </w:pPr>
    </w:p>
    <w:p>
      <w:pPr>
        <w:spacing w:line="550" w:lineRule="exact"/>
        <w:ind w:firstLine="784" w:firstLineChars="244"/>
        <w:rPr>
          <w:rStyle w:val="7"/>
          <w:rFonts w:ascii="仿宋" w:hAnsi="仿宋" w:eastAsia="仿宋"/>
          <w:b/>
          <w:szCs w:val="32"/>
        </w:rPr>
      </w:pPr>
      <w:r>
        <w:rPr>
          <w:rStyle w:val="7"/>
          <w:rFonts w:ascii="仿宋" w:hAnsi="仿宋" w:eastAsia="仿宋"/>
          <w:b/>
          <w:szCs w:val="32"/>
        </w:rPr>
        <w:t>六、一般公共预算财政拨款支出决算</w:t>
      </w:r>
      <w:r>
        <w:rPr>
          <w:rStyle w:val="7"/>
          <w:rFonts w:hint="eastAsia" w:ascii="仿宋" w:hAnsi="仿宋" w:eastAsia="仿宋"/>
          <w:b/>
          <w:szCs w:val="32"/>
        </w:rPr>
        <w:t>表（二）</w:t>
      </w:r>
      <w:r>
        <w:rPr>
          <w:rStyle w:val="7"/>
          <w:rFonts w:ascii="仿宋" w:hAnsi="仿宋" w:eastAsia="仿宋"/>
          <w:b/>
          <w:szCs w:val="32"/>
        </w:rPr>
        <w:t>情况</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本部门本</w:t>
      </w:r>
      <w:r>
        <w:rPr>
          <w:rStyle w:val="7"/>
          <w:rFonts w:hint="eastAsia" w:ascii="仿宋" w:hAnsi="仿宋" w:eastAsia="仿宋"/>
          <w:szCs w:val="32"/>
        </w:rPr>
        <w:t>年度</w:t>
      </w:r>
      <w:r>
        <w:rPr>
          <w:rStyle w:val="7"/>
          <w:rFonts w:ascii="仿宋" w:hAnsi="仿宋" w:eastAsia="仿宋"/>
          <w:szCs w:val="32"/>
        </w:rPr>
        <w:t>一般公共预算财政拨款支出</w:t>
      </w:r>
      <w:r>
        <w:rPr>
          <w:rStyle w:val="7"/>
          <w:rFonts w:hint="eastAsia" w:ascii="仿宋" w:hAnsi="仿宋" w:eastAsia="仿宋"/>
          <w:szCs w:val="32"/>
          <w:lang w:val="en-US" w:eastAsia="zh-CN"/>
        </w:rPr>
        <w:t>63.38</w:t>
      </w:r>
      <w:r>
        <w:rPr>
          <w:rStyle w:val="7"/>
          <w:rFonts w:ascii="仿宋" w:hAnsi="仿宋" w:eastAsia="仿宋"/>
          <w:szCs w:val="32"/>
        </w:rPr>
        <w:t>万元，其中：</w:t>
      </w:r>
    </w:p>
    <w:p>
      <w:pPr>
        <w:spacing w:line="550" w:lineRule="exact"/>
        <w:ind w:firstLine="640" w:firstLineChars="200"/>
        <w:rPr>
          <w:rStyle w:val="7"/>
          <w:rFonts w:ascii="仿宋" w:hAnsi="仿宋" w:eastAsia="仿宋"/>
          <w:szCs w:val="32"/>
        </w:rPr>
      </w:pPr>
      <w:r>
        <w:rPr>
          <w:rStyle w:val="7"/>
          <w:rFonts w:ascii="仿宋" w:hAnsi="仿宋" w:eastAsia="仿宋"/>
          <w:szCs w:val="32"/>
        </w:rPr>
        <w:t>（一）人员经费</w:t>
      </w:r>
      <w:r>
        <w:rPr>
          <w:rStyle w:val="7"/>
          <w:rFonts w:hint="eastAsia" w:ascii="仿宋" w:hAnsi="仿宋" w:eastAsia="仿宋"/>
          <w:szCs w:val="32"/>
        </w:rPr>
        <w:t>58.13</w:t>
      </w:r>
      <w:r>
        <w:rPr>
          <w:rStyle w:val="7"/>
          <w:rFonts w:ascii="仿宋" w:hAnsi="仿宋" w:eastAsia="仿宋"/>
          <w:szCs w:val="32"/>
        </w:rPr>
        <w:t>万元。主要包括：基本工资、津贴补贴、奖金、社会保障缴费、伙食补助费、绩效工资、其他工资福利支出、离休费、退休费、抚恤金、生活补助、医疗费、奖励金、住房公积金、提租补贴、……、其他对个人和家庭的补助支出。</w:t>
      </w:r>
    </w:p>
    <w:p>
      <w:pPr>
        <w:spacing w:line="550" w:lineRule="exact"/>
        <w:ind w:firstLine="640" w:firstLineChars="200"/>
        <w:rPr>
          <w:rFonts w:ascii="仿宋" w:hAnsi="仿宋" w:eastAsia="仿宋"/>
          <w:i/>
        </w:rPr>
      </w:pPr>
      <w:r>
        <w:rPr>
          <w:rStyle w:val="7"/>
          <w:rFonts w:ascii="仿宋" w:hAnsi="仿宋" w:eastAsia="仿宋"/>
          <w:szCs w:val="32"/>
        </w:rPr>
        <w:t>（二）公用经费</w:t>
      </w:r>
      <w:r>
        <w:rPr>
          <w:rStyle w:val="7"/>
          <w:rFonts w:hint="eastAsia" w:ascii="仿宋" w:hAnsi="仿宋" w:eastAsia="仿宋"/>
          <w:szCs w:val="32"/>
        </w:rPr>
        <w:t>5.25</w:t>
      </w:r>
      <w:r>
        <w:rPr>
          <w:rStyle w:val="7"/>
          <w:rFonts w:ascii="仿宋" w:hAnsi="仿宋" w:eastAsia="仿宋"/>
          <w:szCs w:val="32"/>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七、一般公共预算财政拨款“三公”经费表情况说明</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本部门本</w:t>
      </w:r>
      <w:r>
        <w:rPr>
          <w:rStyle w:val="7"/>
          <w:rFonts w:hint="eastAsia" w:ascii="仿宋" w:hAnsi="仿宋" w:eastAsia="仿宋"/>
          <w:szCs w:val="32"/>
        </w:rPr>
        <w:t>年度</w:t>
      </w:r>
      <w:r>
        <w:rPr>
          <w:rStyle w:val="7"/>
          <w:rFonts w:hint="eastAsia" w:ascii="仿宋" w:hAnsi="仿宋" w:eastAsia="仿宋"/>
          <w:szCs w:val="32"/>
          <w:lang w:val="en-US" w:eastAsia="zh-CN"/>
        </w:rPr>
        <w:t>无</w:t>
      </w:r>
      <w:r>
        <w:rPr>
          <w:rStyle w:val="7"/>
          <w:rFonts w:ascii="仿宋" w:hAnsi="仿宋" w:eastAsia="仿宋"/>
          <w:szCs w:val="32"/>
        </w:rPr>
        <w:t>一般公共预算拨款安排的“三公”经费决算支出。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八、政府性基金预算财政拨款收入支出决算情况说明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w:t>
      </w:r>
      <w:r>
        <w:rPr>
          <w:rStyle w:val="7"/>
          <w:rFonts w:hint="eastAsia" w:ascii="仿宋" w:hAnsi="仿宋" w:eastAsia="仿宋"/>
          <w:szCs w:val="32"/>
          <w:lang w:val="en-US" w:eastAsia="zh-CN"/>
        </w:rPr>
        <w:t>度</w:t>
      </w:r>
      <w:r>
        <w:rPr>
          <w:rStyle w:val="7"/>
          <w:rFonts w:ascii="仿宋" w:hAnsi="仿宋" w:eastAsia="仿宋"/>
          <w:szCs w:val="32"/>
        </w:rPr>
        <w:t>政府性基金预算财政拨款年初结转和结余</w:t>
      </w:r>
      <w:r>
        <w:rPr>
          <w:rStyle w:val="7"/>
          <w:rFonts w:hint="eastAsia" w:ascii="仿宋" w:hAnsi="仿宋" w:eastAsia="仿宋"/>
          <w:szCs w:val="32"/>
        </w:rPr>
        <w:t>0</w:t>
      </w:r>
      <w:r>
        <w:rPr>
          <w:rStyle w:val="7"/>
          <w:rFonts w:ascii="仿宋" w:hAnsi="仿宋" w:eastAsia="仿宋"/>
          <w:szCs w:val="32"/>
        </w:rPr>
        <w:t>万元，本年收入决算</w:t>
      </w:r>
      <w:r>
        <w:rPr>
          <w:rStyle w:val="7"/>
          <w:rFonts w:hint="eastAsia" w:ascii="仿宋" w:hAnsi="仿宋" w:eastAsia="仿宋"/>
          <w:szCs w:val="32"/>
        </w:rPr>
        <w:t>61.19</w:t>
      </w:r>
      <w:r>
        <w:rPr>
          <w:rStyle w:val="7"/>
          <w:rFonts w:ascii="仿宋" w:hAnsi="仿宋" w:eastAsia="仿宋"/>
          <w:szCs w:val="32"/>
        </w:rPr>
        <w:t>万元，本年支出决算</w:t>
      </w:r>
      <w:r>
        <w:rPr>
          <w:rStyle w:val="7"/>
          <w:rFonts w:hint="eastAsia" w:ascii="仿宋" w:hAnsi="仿宋" w:eastAsia="仿宋"/>
          <w:szCs w:val="32"/>
        </w:rPr>
        <w:t>61.19</w:t>
      </w:r>
      <w:r>
        <w:rPr>
          <w:rStyle w:val="7"/>
          <w:rFonts w:ascii="仿宋" w:hAnsi="仿宋" w:eastAsia="仿宋"/>
          <w:szCs w:val="32"/>
        </w:rPr>
        <w:t>万元，年末</w:t>
      </w:r>
      <w:r>
        <w:rPr>
          <w:rStyle w:val="7"/>
          <w:rFonts w:hint="eastAsia" w:ascii="仿宋" w:hAnsi="仿宋" w:eastAsia="仿宋"/>
          <w:szCs w:val="32"/>
          <w:lang w:val="en-US" w:eastAsia="zh-CN"/>
        </w:rPr>
        <w:t>无</w:t>
      </w:r>
      <w:r>
        <w:rPr>
          <w:rStyle w:val="7"/>
          <w:rFonts w:ascii="仿宋" w:hAnsi="仿宋" w:eastAsia="仿宋"/>
          <w:szCs w:val="32"/>
        </w:rPr>
        <w:t>结转和结余</w:t>
      </w:r>
      <w:r>
        <w:rPr>
          <w:rStyle w:val="7"/>
          <w:rFonts w:hint="eastAsia" w:ascii="仿宋" w:hAnsi="仿宋" w:eastAsia="仿宋"/>
          <w:szCs w:val="32"/>
          <w:lang w:eastAsia="zh-CN"/>
        </w:rPr>
        <w:t>：</w:t>
      </w:r>
      <w:r>
        <w:rPr>
          <w:rStyle w:val="7"/>
          <w:rFonts w:ascii="仿宋" w:hAnsi="仿宋" w:eastAsia="仿宋"/>
          <w:szCs w:val="32"/>
        </w:rPr>
        <w:t>具体支出情况如下：</w:t>
      </w:r>
    </w:p>
    <w:p>
      <w:pPr>
        <w:spacing w:line="550" w:lineRule="exact"/>
        <w:ind w:firstLine="640" w:firstLineChars="200"/>
        <w:rPr>
          <w:rStyle w:val="7"/>
          <w:rFonts w:ascii="仿宋" w:hAnsi="仿宋" w:eastAsia="仿宋"/>
          <w:szCs w:val="32"/>
        </w:rPr>
      </w:pPr>
      <w:r>
        <w:rPr>
          <w:rStyle w:val="7"/>
          <w:rFonts w:ascii="仿宋" w:hAnsi="仿宋" w:eastAsia="仿宋"/>
          <w:szCs w:val="32"/>
        </w:rPr>
        <w:t>1．城乡社区支出（类）政府住房基金及对应专项债务收入安排的支出（款）</w:t>
      </w:r>
      <w:r>
        <w:rPr>
          <w:rStyle w:val="7"/>
          <w:rFonts w:hint="eastAsia" w:ascii="仿宋" w:hAnsi="仿宋" w:eastAsia="仿宋"/>
          <w:szCs w:val="32"/>
        </w:rPr>
        <w:t>国家赔偿费用</w:t>
      </w:r>
      <w:r>
        <w:rPr>
          <w:rStyle w:val="7"/>
          <w:rFonts w:ascii="仿宋" w:hAnsi="仿宋" w:eastAsia="仿宋"/>
          <w:szCs w:val="32"/>
        </w:rPr>
        <w:t>支出（项）支出决算</w:t>
      </w:r>
      <w:r>
        <w:rPr>
          <w:rStyle w:val="7"/>
          <w:rFonts w:hint="eastAsia" w:ascii="仿宋" w:hAnsi="仿宋" w:eastAsia="仿宋"/>
          <w:szCs w:val="32"/>
        </w:rPr>
        <w:t>61.19</w:t>
      </w:r>
      <w:r>
        <w:rPr>
          <w:rStyle w:val="7"/>
          <w:rFonts w:ascii="仿宋" w:hAnsi="仿宋" w:eastAsia="仿宋"/>
          <w:szCs w:val="32"/>
        </w:rPr>
        <w:t>万元，主要是用于</w:t>
      </w:r>
      <w:r>
        <w:rPr>
          <w:rStyle w:val="7"/>
          <w:rFonts w:hint="eastAsia" w:ascii="仿宋" w:hAnsi="仿宋" w:eastAsia="仿宋"/>
          <w:szCs w:val="32"/>
        </w:rPr>
        <w:t>太行钢厂征地和拆迁补偿</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九、政府采购支出决算情况说明</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本部门本</w:t>
      </w:r>
      <w:r>
        <w:rPr>
          <w:rStyle w:val="7"/>
          <w:rFonts w:ascii="仿宋" w:hAnsi="仿宋" w:eastAsia="仿宋"/>
          <w:szCs w:val="32"/>
        </w:rPr>
        <w:t>年度</w:t>
      </w:r>
      <w:r>
        <w:rPr>
          <w:rStyle w:val="7"/>
          <w:rFonts w:hint="eastAsia" w:ascii="仿宋" w:hAnsi="仿宋" w:eastAsia="仿宋"/>
          <w:szCs w:val="32"/>
        </w:rPr>
        <w:t>无</w:t>
      </w:r>
      <w:r>
        <w:rPr>
          <w:rStyle w:val="7"/>
          <w:rFonts w:ascii="仿宋" w:hAnsi="仿宋" w:eastAsia="仿宋"/>
          <w:szCs w:val="32"/>
        </w:rPr>
        <w:t>政府采购支出</w:t>
      </w:r>
      <w:r>
        <w:rPr>
          <w:rStyle w:val="7"/>
          <w:rFonts w:hint="eastAsia" w:ascii="仿宋" w:hAnsi="仿宋" w:eastAsia="仿宋"/>
          <w:szCs w:val="32"/>
        </w:rPr>
        <w:t>。</w:t>
      </w:r>
    </w:p>
    <w:p>
      <w:pPr>
        <w:spacing w:line="550" w:lineRule="exact"/>
        <w:ind w:firstLine="643" w:firstLineChars="200"/>
        <w:rPr>
          <w:rFonts w:ascii="仿宋" w:hAnsi="仿宋" w:eastAsia="仿宋"/>
          <w:b/>
        </w:rPr>
      </w:pPr>
      <w:r>
        <w:rPr>
          <w:rStyle w:val="7"/>
          <w:rFonts w:ascii="仿宋" w:hAnsi="仿宋" w:eastAsia="仿宋"/>
          <w:b/>
          <w:szCs w:val="32"/>
        </w:rPr>
        <w:t>十、机关运行</w:t>
      </w:r>
      <w:r>
        <w:rPr>
          <w:rStyle w:val="7"/>
          <w:rFonts w:hint="eastAsia" w:ascii="仿宋" w:hAnsi="仿宋" w:eastAsia="仿宋"/>
          <w:b/>
          <w:szCs w:val="32"/>
        </w:rPr>
        <w:t>经</w:t>
      </w:r>
      <w:r>
        <w:rPr>
          <w:rStyle w:val="7"/>
          <w:rFonts w:ascii="仿宋" w:hAnsi="仿宋" w:eastAsia="仿宋"/>
          <w:b/>
          <w:szCs w:val="32"/>
        </w:rPr>
        <w:t>费情况</w:t>
      </w:r>
    </w:p>
    <w:p>
      <w:pPr>
        <w:spacing w:line="550" w:lineRule="exact"/>
        <w:ind w:firstLine="640" w:firstLineChars="200"/>
        <w:rPr>
          <w:rFonts w:ascii="仿宋" w:hAnsi="仿宋" w:eastAsia="仿宋"/>
        </w:rPr>
      </w:pPr>
      <w:r>
        <w:rPr>
          <w:rStyle w:val="7"/>
          <w:rFonts w:hint="eastAsia" w:ascii="仿宋" w:hAnsi="仿宋" w:eastAsia="仿宋"/>
          <w:szCs w:val="32"/>
          <w:lang w:val="en-US" w:eastAsia="zh-CN"/>
        </w:rPr>
        <w:t>本部门本</w:t>
      </w:r>
      <w:r>
        <w:rPr>
          <w:rStyle w:val="7"/>
          <w:rFonts w:ascii="仿宋" w:hAnsi="仿宋" w:eastAsia="仿宋"/>
          <w:szCs w:val="32"/>
        </w:rPr>
        <w:t>年度</w:t>
      </w:r>
      <w:r>
        <w:rPr>
          <w:rStyle w:val="7"/>
          <w:rFonts w:hint="eastAsia" w:ascii="仿宋" w:hAnsi="仿宋" w:eastAsia="仿宋"/>
          <w:szCs w:val="32"/>
        </w:rPr>
        <w:t>无</w:t>
      </w:r>
      <w:r>
        <w:rPr>
          <w:rStyle w:val="7"/>
          <w:rFonts w:ascii="仿宋" w:hAnsi="仿宋" w:eastAsia="仿宋"/>
          <w:szCs w:val="32"/>
        </w:rPr>
        <w:t>机关运行费</w:t>
      </w:r>
      <w:r>
        <w:rPr>
          <w:rStyle w:val="7"/>
          <w:rFonts w:hint="eastAsia" w:ascii="仿宋" w:hAnsi="仿宋" w:eastAsia="仿宋"/>
          <w:szCs w:val="32"/>
        </w:rPr>
        <w:t>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十一、国有资产占用情况</w:t>
      </w:r>
    </w:p>
    <w:p>
      <w:pPr>
        <w:spacing w:line="550" w:lineRule="exact"/>
        <w:ind w:firstLine="640" w:firstLineChars="200"/>
        <w:rPr>
          <w:rFonts w:ascii="仿宋" w:hAnsi="仿宋" w:eastAsia="仿宋"/>
        </w:rPr>
      </w:pPr>
      <w:r>
        <w:rPr>
          <w:rStyle w:val="7"/>
          <w:rFonts w:ascii="仿宋" w:hAnsi="仿宋" w:eastAsia="仿宋"/>
          <w:szCs w:val="32"/>
        </w:rPr>
        <w:t>1.车辆情况</w:t>
      </w:r>
      <w:r>
        <w:rPr>
          <w:rStyle w:val="7"/>
          <w:rFonts w:hint="eastAsia" w:ascii="仿宋" w:hAnsi="仿宋" w:eastAsia="仿宋"/>
          <w:szCs w:val="32"/>
        </w:rPr>
        <w:t>：</w:t>
      </w:r>
      <w:r>
        <w:rPr>
          <w:rStyle w:val="7"/>
          <w:rFonts w:ascii="仿宋" w:hAnsi="仿宋" w:eastAsia="仿宋"/>
          <w:szCs w:val="32"/>
        </w:rPr>
        <w:t>本部门</w:t>
      </w:r>
      <w:r>
        <w:rPr>
          <w:rStyle w:val="7"/>
          <w:rFonts w:hint="eastAsia" w:ascii="仿宋" w:hAnsi="仿宋" w:eastAsia="仿宋"/>
          <w:szCs w:val="32"/>
          <w:lang w:val="en-US" w:eastAsia="zh-CN"/>
        </w:rPr>
        <w:t>年末无</w:t>
      </w:r>
      <w:r>
        <w:rPr>
          <w:rStyle w:val="7"/>
          <w:rFonts w:ascii="仿宋" w:hAnsi="仿宋" w:eastAsia="仿宋"/>
          <w:szCs w:val="32"/>
        </w:rPr>
        <w:t>车辆</w:t>
      </w:r>
      <w:r>
        <w:rPr>
          <w:rStyle w:val="7"/>
          <w:rFonts w:hint="eastAsia" w:ascii="仿宋" w:hAnsi="仿宋" w:eastAsia="仿宋"/>
          <w:szCs w:val="32"/>
        </w:rPr>
        <w:t>。</w:t>
      </w:r>
    </w:p>
    <w:p>
      <w:pPr>
        <w:spacing w:line="550" w:lineRule="exact"/>
        <w:ind w:firstLine="640" w:firstLineChars="200"/>
        <w:rPr>
          <w:rFonts w:ascii="仿宋" w:hAnsi="仿宋" w:eastAsia="仿宋"/>
          <w:szCs w:val="32"/>
        </w:rPr>
      </w:pPr>
      <w:r>
        <w:rPr>
          <w:rStyle w:val="7"/>
          <w:rFonts w:ascii="仿宋" w:hAnsi="仿宋" w:eastAsia="仿宋"/>
          <w:szCs w:val="32"/>
        </w:rPr>
        <w:t>2.土地房屋情况</w:t>
      </w:r>
      <w:r>
        <w:rPr>
          <w:rStyle w:val="7"/>
          <w:rFonts w:hint="eastAsia" w:ascii="仿宋" w:hAnsi="仿宋" w:eastAsia="仿宋"/>
          <w:szCs w:val="32"/>
        </w:rPr>
        <w:t>：</w:t>
      </w:r>
      <w:r>
        <w:rPr>
          <w:rStyle w:val="7"/>
          <w:rFonts w:ascii="仿宋" w:hAnsi="仿宋" w:eastAsia="仿宋"/>
          <w:szCs w:val="32"/>
        </w:rPr>
        <w:t>本部门</w:t>
      </w:r>
      <w:r>
        <w:rPr>
          <w:rStyle w:val="7"/>
          <w:rFonts w:hint="eastAsia" w:ascii="仿宋" w:hAnsi="仿宋" w:eastAsia="仿宋"/>
          <w:szCs w:val="32"/>
        </w:rPr>
        <w:t>占用办公用房3间，面积大约100平方米，由县机关统一管理，资产未登记我单位。</w:t>
      </w:r>
    </w:p>
    <w:p>
      <w:pPr>
        <w:spacing w:line="550" w:lineRule="exact"/>
        <w:ind w:firstLine="640" w:firstLineChars="200"/>
        <w:rPr>
          <w:rStyle w:val="7"/>
          <w:rFonts w:ascii="仿宋" w:hAnsi="仿宋" w:eastAsia="仿宋"/>
          <w:szCs w:val="32"/>
        </w:rPr>
      </w:pPr>
      <w:r>
        <w:rPr>
          <w:rStyle w:val="7"/>
          <w:rFonts w:ascii="仿宋" w:hAnsi="仿宋" w:eastAsia="仿宋"/>
          <w:szCs w:val="32"/>
        </w:rPr>
        <w:t>3.其他国有资产占有使用情况</w:t>
      </w:r>
      <w:r>
        <w:rPr>
          <w:rStyle w:val="7"/>
          <w:rFonts w:hint="eastAsia" w:ascii="仿宋" w:hAnsi="仿宋" w:eastAsia="仿宋"/>
          <w:szCs w:val="32"/>
        </w:rPr>
        <w:t>：主要包括单位办公使用的电脑、办公桌椅、档案柜等，没有50万元以上的通用设备和100万元以上的专用设备。</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十二、预算绩效评价工作开展情况</w:t>
      </w:r>
    </w:p>
    <w:p>
      <w:pPr>
        <w:spacing w:line="550" w:lineRule="exact"/>
        <w:ind w:firstLine="640" w:firstLineChars="200"/>
        <w:rPr>
          <w:rFonts w:ascii="仿宋" w:hAnsi="仿宋" w:eastAsia="仿宋"/>
        </w:rPr>
      </w:pPr>
      <w:r>
        <w:rPr>
          <w:rStyle w:val="7"/>
          <w:rFonts w:hint="eastAsia" w:ascii="仿宋" w:hAnsi="仿宋" w:eastAsia="仿宋"/>
          <w:szCs w:val="32"/>
          <w:lang w:val="en-US" w:eastAsia="zh-CN"/>
        </w:rPr>
        <w:t>本部门本</w:t>
      </w:r>
      <w:r>
        <w:rPr>
          <w:rStyle w:val="7"/>
          <w:rFonts w:ascii="仿宋" w:hAnsi="仿宋" w:eastAsia="仿宋"/>
          <w:szCs w:val="32"/>
        </w:rPr>
        <w:t>年度</w:t>
      </w:r>
      <w:r>
        <w:rPr>
          <w:rStyle w:val="7"/>
          <w:rFonts w:hint="eastAsia" w:ascii="仿宋" w:hAnsi="仿宋" w:eastAsia="仿宋"/>
          <w:szCs w:val="32"/>
        </w:rPr>
        <w:t>无</w:t>
      </w:r>
      <w:r>
        <w:rPr>
          <w:rStyle w:val="7"/>
          <w:rFonts w:ascii="仿宋" w:hAnsi="仿宋" w:eastAsia="仿宋"/>
          <w:szCs w:val="32"/>
        </w:rPr>
        <w:t>绩效评价</w:t>
      </w:r>
      <w:r>
        <w:rPr>
          <w:rStyle w:val="7"/>
          <w:rFonts w:hint="eastAsia" w:ascii="仿宋" w:hAnsi="仿宋" w:eastAsia="仿宋"/>
          <w:szCs w:val="32"/>
        </w:rPr>
        <w:t>项目。</w:t>
      </w:r>
    </w:p>
    <w:p>
      <w:pPr>
        <w:spacing w:before="312" w:beforeAutospacing="1" w:after="312" w:afterAutospacing="1" w:line="550" w:lineRule="exact"/>
        <w:ind w:firstLine="0"/>
        <w:jc w:val="center"/>
        <w:rPr>
          <w:rStyle w:val="7"/>
          <w:rFonts w:ascii="黑体" w:hAnsi="黑体" w:eastAsia="黑体"/>
          <w:szCs w:val="32"/>
        </w:rPr>
      </w:pPr>
      <w:r>
        <w:rPr>
          <w:rStyle w:val="7"/>
          <w:rFonts w:ascii="黑体" w:hAnsi="黑体" w:eastAsia="黑体"/>
          <w:szCs w:val="32"/>
        </w:rPr>
        <w:t>第四部分　名词解释</w:t>
      </w:r>
    </w:p>
    <w:p>
      <w:pPr>
        <w:spacing w:line="550" w:lineRule="exact"/>
        <w:ind w:firstLine="643" w:firstLineChars="200"/>
        <w:rPr>
          <w:rStyle w:val="7"/>
          <w:rFonts w:ascii="仿宋" w:hAnsi="仿宋" w:eastAsia="仿宋"/>
          <w:szCs w:val="32"/>
        </w:rPr>
      </w:pPr>
      <w:r>
        <w:rPr>
          <w:rStyle w:val="7"/>
          <w:rFonts w:ascii="仿宋" w:hAnsi="仿宋" w:eastAsia="仿宋"/>
          <w:b/>
          <w:szCs w:val="32"/>
        </w:rPr>
        <w:t>一、财政拨款收入：</w:t>
      </w:r>
      <w:r>
        <w:rPr>
          <w:rStyle w:val="7"/>
          <w:rFonts w:ascii="仿宋" w:hAnsi="仿宋" w:eastAsia="仿宋"/>
          <w:szCs w:val="32"/>
        </w:rPr>
        <w:t>指单位本年度从财政部门取得的财政拨款。</w:t>
      </w:r>
    </w:p>
    <w:p>
      <w:pPr>
        <w:spacing w:line="550" w:lineRule="exact"/>
        <w:ind w:firstLine="643" w:firstLineChars="200"/>
        <w:rPr>
          <w:rStyle w:val="7"/>
          <w:rFonts w:ascii="仿宋" w:hAnsi="仿宋" w:eastAsia="仿宋"/>
          <w:szCs w:val="32"/>
        </w:rPr>
      </w:pPr>
      <w:r>
        <w:rPr>
          <w:rStyle w:val="7"/>
          <w:rFonts w:ascii="仿宋" w:hAnsi="仿宋" w:eastAsia="仿宋"/>
          <w:b/>
          <w:szCs w:val="32"/>
        </w:rPr>
        <w:t>二、上级补助收入：</w:t>
      </w:r>
      <w:r>
        <w:rPr>
          <w:rStyle w:val="7"/>
          <w:rFonts w:ascii="仿宋" w:hAnsi="仿宋" w:eastAsia="仿宋"/>
          <w:szCs w:val="32"/>
        </w:rPr>
        <w:t>指事业单位从主管部门和上级单位取得的非财政补助收入。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三、事业收入：</w:t>
      </w:r>
      <w:r>
        <w:rPr>
          <w:rStyle w:val="7"/>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7"/>
          <w:rFonts w:ascii="仿宋" w:hAnsi="仿宋" w:eastAsia="仿宋"/>
          <w:szCs w:val="32"/>
        </w:rPr>
      </w:pPr>
      <w:r>
        <w:rPr>
          <w:rStyle w:val="7"/>
          <w:rFonts w:ascii="仿宋" w:hAnsi="仿宋" w:eastAsia="仿宋"/>
          <w:b/>
          <w:szCs w:val="32"/>
        </w:rPr>
        <w:t>四、经营收入：</w:t>
      </w:r>
      <w:r>
        <w:rPr>
          <w:rStyle w:val="7"/>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五、附属单位缴款：</w:t>
      </w:r>
      <w:r>
        <w:rPr>
          <w:rStyle w:val="7"/>
          <w:rFonts w:ascii="仿宋" w:hAnsi="仿宋" w:eastAsia="仿宋"/>
          <w:szCs w:val="32"/>
        </w:rPr>
        <w:t>指事业单位附属独立核算单位按照有关规定上缴的收入。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六、其他收入：</w:t>
      </w:r>
      <w:r>
        <w:rPr>
          <w:rStyle w:val="7"/>
          <w:rFonts w:ascii="仿宋" w:hAnsi="仿宋" w:eastAsia="仿宋"/>
          <w:szCs w:val="32"/>
        </w:rPr>
        <w:t>指单位取得的除上述“财政拨款收入”、“事业收入”、“经营收入”等以外的各项收入。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七、用事业基金弥补收支差额：</w:t>
      </w:r>
      <w:r>
        <w:rPr>
          <w:rStyle w:val="7"/>
          <w:rFonts w:ascii="仿宋" w:hAnsi="仿宋" w:eastAsia="仿宋"/>
          <w:szCs w:val="32"/>
        </w:rPr>
        <w:t>指事业单位用事业基金弥补当年收支差额的数额。</w:t>
      </w:r>
    </w:p>
    <w:p>
      <w:pPr>
        <w:spacing w:line="550" w:lineRule="exact"/>
        <w:ind w:firstLine="643" w:firstLineChars="200"/>
        <w:rPr>
          <w:rStyle w:val="7"/>
          <w:rFonts w:ascii="仿宋" w:hAnsi="仿宋" w:eastAsia="仿宋"/>
          <w:szCs w:val="32"/>
        </w:rPr>
      </w:pPr>
      <w:r>
        <w:rPr>
          <w:rStyle w:val="7"/>
          <w:rFonts w:ascii="仿宋" w:hAnsi="仿宋" w:eastAsia="仿宋"/>
          <w:b/>
          <w:szCs w:val="32"/>
        </w:rPr>
        <w:t>八、年初结转和结余：</w:t>
      </w:r>
      <w:r>
        <w:rPr>
          <w:rStyle w:val="7"/>
          <w:rFonts w:ascii="仿宋" w:hAnsi="仿宋" w:eastAsia="仿宋"/>
          <w:szCs w:val="32"/>
        </w:rPr>
        <w:t>指单位上年结转本年使用的基本支出结转、项目支出结转和结余和经营结余。</w:t>
      </w:r>
    </w:p>
    <w:p>
      <w:pPr>
        <w:spacing w:line="550" w:lineRule="exact"/>
        <w:ind w:firstLine="643" w:firstLineChars="200"/>
        <w:rPr>
          <w:rStyle w:val="7"/>
          <w:rFonts w:ascii="仿宋" w:hAnsi="仿宋" w:eastAsia="仿宋"/>
          <w:szCs w:val="32"/>
        </w:rPr>
      </w:pPr>
      <w:r>
        <w:rPr>
          <w:rStyle w:val="7"/>
          <w:rFonts w:ascii="仿宋" w:hAnsi="仿宋" w:eastAsia="仿宋"/>
          <w:b/>
          <w:szCs w:val="32"/>
        </w:rPr>
        <w:t>九、结余分配：</w:t>
      </w:r>
      <w:r>
        <w:rPr>
          <w:rStyle w:val="7"/>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十、年末结转和结余资金：</w:t>
      </w:r>
      <w:r>
        <w:rPr>
          <w:rStyle w:val="7"/>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十一、基本支出：</w:t>
      </w:r>
      <w:r>
        <w:rPr>
          <w:rStyle w:val="7"/>
          <w:rFonts w:ascii="仿宋" w:hAnsi="仿宋" w:eastAsia="仿宋"/>
          <w:szCs w:val="32"/>
        </w:rPr>
        <w:t>指为保障机构正常运转、完成日常工作任务而发生的人员支出和公用支出。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十二、项目支出：</w:t>
      </w:r>
      <w:r>
        <w:rPr>
          <w:rStyle w:val="7"/>
          <w:rFonts w:ascii="仿宋" w:hAnsi="仿宋" w:eastAsia="仿宋"/>
          <w:szCs w:val="32"/>
        </w:rPr>
        <w:t>指在基本支出之外为完成特定的行政任务或事业发展目标所发生的支出。</w:t>
      </w:r>
    </w:p>
    <w:p>
      <w:pPr>
        <w:spacing w:line="550" w:lineRule="exact"/>
        <w:ind w:firstLine="643" w:firstLineChars="200"/>
        <w:rPr>
          <w:rStyle w:val="7"/>
          <w:rFonts w:ascii="仿宋" w:hAnsi="仿宋" w:eastAsia="仿宋"/>
          <w:i/>
          <w:szCs w:val="32"/>
        </w:rPr>
      </w:pPr>
      <w:r>
        <w:rPr>
          <w:rStyle w:val="7"/>
          <w:rFonts w:ascii="仿宋" w:hAnsi="仿宋" w:eastAsia="仿宋"/>
          <w:b/>
          <w:szCs w:val="32"/>
        </w:rPr>
        <w:t>十三、上缴上级支出：</w:t>
      </w:r>
      <w:r>
        <w:rPr>
          <w:rStyle w:val="7"/>
          <w:rFonts w:ascii="仿宋" w:hAnsi="仿宋" w:eastAsia="仿宋"/>
          <w:szCs w:val="32"/>
        </w:rPr>
        <w:t>指事业单位按照财政部门和主管部门的规定上缴上级单位的支出。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十四、经营支出：</w:t>
      </w:r>
      <w:r>
        <w:rPr>
          <w:rStyle w:val="7"/>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十五、对附属单位补助支出：</w:t>
      </w:r>
      <w:r>
        <w:rPr>
          <w:rStyle w:val="7"/>
          <w:rFonts w:ascii="仿宋" w:hAnsi="仿宋" w:eastAsia="仿宋"/>
          <w:szCs w:val="32"/>
        </w:rPr>
        <w:t>指事业单位用财政补助收入之外的收入对附属单位补助发生的支出。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十六、“三公”经费：</w:t>
      </w:r>
      <w:r>
        <w:rPr>
          <w:rStyle w:val="7"/>
          <w:rFonts w:ascii="仿宋" w:hAnsi="仿宋" w:eastAsia="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十七、机关运行经费：</w:t>
      </w:r>
      <w:r>
        <w:rPr>
          <w:rStyle w:val="7"/>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7"/>
          <w:rFonts w:ascii="仿宋" w:hAnsi="仿宋" w:eastAsia="仿宋"/>
          <w:szCs w:val="32"/>
        </w:rPr>
      </w:pPr>
    </w:p>
    <w:sectPr>
      <w:footerReference r:id="rId3" w:type="default"/>
      <w:footerReference r:id="rId4"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17"/>
      </w:rPr>
    </w:pPr>
  </w:p>
  <w:p>
    <w:pPr>
      <w:pStyle w:val="3"/>
      <w:ind w:right="360"/>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D0CD3"/>
    <w:multiLevelType w:val="multilevel"/>
    <w:tmpl w:val="287D0CD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BC33612"/>
    <w:multiLevelType w:val="multilevel"/>
    <w:tmpl w:val="7BC33612"/>
    <w:lvl w:ilvl="0" w:tentative="0">
      <w:start w:val="1"/>
      <w:numFmt w:val="japaneseCounting"/>
      <w:lvlText w:val="%1、"/>
      <w:lvlJc w:val="left"/>
      <w:pPr>
        <w:widowControl/>
        <w:ind w:left="885" w:hanging="885"/>
        <w:textAlignment w:val="baseline"/>
      </w:pPr>
    </w:lvl>
    <w:lvl w:ilvl="1" w:tentative="0">
      <w:start w:val="1"/>
      <w:numFmt w:val="lowerLetter"/>
      <w:lvlText w:val="%1)"/>
      <w:lvlJc w:val="left"/>
      <w:pPr>
        <w:widowControl/>
        <w:ind w:left="840" w:hanging="420"/>
        <w:textAlignment w:val="baseline"/>
      </w:pPr>
    </w:lvl>
    <w:lvl w:ilvl="2" w:tentative="0">
      <w:start w:val="1"/>
      <w:numFmt w:val="lowerRoman"/>
      <w:lvlText w:val="%1."/>
      <w:lvlJc w:val="right"/>
      <w:pPr>
        <w:widowControl/>
        <w:ind w:left="1260" w:hanging="420"/>
        <w:textAlignment w:val="baseline"/>
      </w:pPr>
    </w:lvl>
    <w:lvl w:ilvl="3" w:tentative="0">
      <w:start w:val="1"/>
      <w:numFmt w:val="decimal"/>
      <w:lvlText w:val="%1."/>
      <w:lvlJc w:val="left"/>
      <w:pPr>
        <w:widowControl/>
        <w:ind w:left="1680" w:hanging="420"/>
        <w:textAlignment w:val="baseline"/>
      </w:pPr>
    </w:lvl>
    <w:lvl w:ilvl="4" w:tentative="0">
      <w:start w:val="1"/>
      <w:numFmt w:val="lowerLetter"/>
      <w:lvlText w:val="%1)"/>
      <w:lvlJc w:val="left"/>
      <w:pPr>
        <w:widowControl/>
        <w:ind w:left="2100" w:hanging="420"/>
        <w:textAlignment w:val="baseline"/>
      </w:pPr>
    </w:lvl>
    <w:lvl w:ilvl="5" w:tentative="0">
      <w:start w:val="1"/>
      <w:numFmt w:val="lowerRoman"/>
      <w:lvlText w:val="%1."/>
      <w:lvlJc w:val="right"/>
      <w:pPr>
        <w:widowControl/>
        <w:ind w:left="2520" w:hanging="420"/>
        <w:textAlignment w:val="baseline"/>
      </w:pPr>
    </w:lvl>
    <w:lvl w:ilvl="6" w:tentative="0">
      <w:start w:val="1"/>
      <w:numFmt w:val="decimal"/>
      <w:lvlText w:val="%1."/>
      <w:lvlJc w:val="left"/>
      <w:pPr>
        <w:widowControl/>
        <w:ind w:left="2940" w:hanging="420"/>
        <w:textAlignment w:val="baseline"/>
      </w:pPr>
    </w:lvl>
    <w:lvl w:ilvl="7" w:tentative="0">
      <w:start w:val="1"/>
      <w:numFmt w:val="lowerLetter"/>
      <w:lvlText w:val="%1)"/>
      <w:lvlJc w:val="left"/>
      <w:pPr>
        <w:widowControl/>
        <w:ind w:left="3360" w:hanging="420"/>
        <w:textAlignment w:val="baseline"/>
      </w:pPr>
    </w:lvl>
    <w:lvl w:ilvl="8" w:tentative="0">
      <w:start w:val="1"/>
      <w:numFmt w:val="lowerRoman"/>
      <w:lvlText w:val="%1."/>
      <w:lvlJc w:val="right"/>
      <w:pPr>
        <w:widowControl/>
        <w:ind w:left="3780" w:hanging="420"/>
        <w:textAlignment w:val="baseline"/>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3FD"/>
    <w:rsid w:val="000B5030"/>
    <w:rsid w:val="001047D2"/>
    <w:rsid w:val="00126D7F"/>
    <w:rsid w:val="001C0E7C"/>
    <w:rsid w:val="002063FD"/>
    <w:rsid w:val="00222BD1"/>
    <w:rsid w:val="00235CBE"/>
    <w:rsid w:val="0027041E"/>
    <w:rsid w:val="003168D2"/>
    <w:rsid w:val="00325C0D"/>
    <w:rsid w:val="00417ECD"/>
    <w:rsid w:val="004A0169"/>
    <w:rsid w:val="004B05BE"/>
    <w:rsid w:val="005C6243"/>
    <w:rsid w:val="005D29FB"/>
    <w:rsid w:val="005D5257"/>
    <w:rsid w:val="005E1071"/>
    <w:rsid w:val="00663F92"/>
    <w:rsid w:val="006671AE"/>
    <w:rsid w:val="006804AB"/>
    <w:rsid w:val="006E1D89"/>
    <w:rsid w:val="006E236E"/>
    <w:rsid w:val="007B7175"/>
    <w:rsid w:val="008B0B04"/>
    <w:rsid w:val="008B5EB3"/>
    <w:rsid w:val="008C743E"/>
    <w:rsid w:val="009E2A01"/>
    <w:rsid w:val="00A3229F"/>
    <w:rsid w:val="00A33E93"/>
    <w:rsid w:val="00A55C8B"/>
    <w:rsid w:val="00A839B7"/>
    <w:rsid w:val="00AC7889"/>
    <w:rsid w:val="00B07DC9"/>
    <w:rsid w:val="00B718A0"/>
    <w:rsid w:val="00BA0B25"/>
    <w:rsid w:val="00C23B20"/>
    <w:rsid w:val="00C52BBC"/>
    <w:rsid w:val="00CB1CAE"/>
    <w:rsid w:val="00CD1362"/>
    <w:rsid w:val="00CD1CE9"/>
    <w:rsid w:val="00CF633F"/>
    <w:rsid w:val="00D532BF"/>
    <w:rsid w:val="00DE0EB3"/>
    <w:rsid w:val="00DF2536"/>
    <w:rsid w:val="00E22C89"/>
    <w:rsid w:val="00EE2E10"/>
    <w:rsid w:val="00F57D12"/>
    <w:rsid w:val="00F73BCE"/>
    <w:rsid w:val="00FE2E30"/>
    <w:rsid w:val="05544584"/>
    <w:rsid w:val="10D0111A"/>
    <w:rsid w:val="3E2937C8"/>
    <w:rsid w:val="472A56AC"/>
    <w:rsid w:val="5579370D"/>
    <w:rsid w:val="573559AB"/>
    <w:rsid w:val="79776048"/>
    <w:rsid w:val="7C9D0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uiPriority w:val="99"/>
    <w:pPr>
      <w:spacing w:line="240" w:lineRule="auto"/>
    </w:pPr>
    <w:rPr>
      <w:sz w:val="18"/>
      <w:szCs w:val="18"/>
    </w:rPr>
  </w:style>
  <w:style w:type="paragraph" w:styleId="3">
    <w:name w:val="footer"/>
    <w:basedOn w:val="1"/>
    <w:link w:val="14"/>
    <w:qFormat/>
    <w:uiPriority w:val="99"/>
    <w:pPr>
      <w:tabs>
        <w:tab w:val="center" w:pos="4153"/>
        <w:tab w:val="right" w:pos="8306"/>
      </w:tabs>
      <w:spacing w:line="240" w:lineRule="auto"/>
      <w:ind w:firstLine="0"/>
      <w:jc w:val="left"/>
    </w:pPr>
    <w:rPr>
      <w:rFonts w:eastAsia="宋体"/>
      <w:kern w:val="2"/>
      <w:sz w:val="18"/>
      <w:szCs w:val="18"/>
    </w:rPr>
  </w:style>
  <w:style w:type="paragraph" w:styleId="4">
    <w:name w:val="header"/>
    <w:basedOn w:val="1"/>
    <w:link w:val="13"/>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paragraph" w:customStyle="1" w:styleId="9">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10">
    <w:name w:val="UserStyle_0"/>
    <w:basedOn w:val="1"/>
    <w:next w:val="1"/>
    <w:qFormat/>
    <w:uiPriority w:val="0"/>
    <w:pPr>
      <w:spacing w:line="700" w:lineRule="atLeast"/>
      <w:ind w:firstLine="0"/>
      <w:jc w:val="center"/>
    </w:pPr>
    <w:rPr>
      <w:rFonts w:eastAsia="方正小标宋_GBK"/>
      <w:sz w:val="44"/>
    </w:rPr>
  </w:style>
  <w:style w:type="paragraph" w:customStyle="1" w:styleId="11">
    <w:name w:val="UserStyle_1"/>
    <w:basedOn w:val="1"/>
    <w:qFormat/>
    <w:uiPriority w:val="0"/>
  </w:style>
  <w:style w:type="table" w:customStyle="1" w:styleId="12">
    <w:name w:val="TableGrid"/>
    <w:basedOn w:val="8"/>
    <w:qFormat/>
    <w:uiPriority w:val="0"/>
    <w:tblPr>
      <w:tblCellMar>
        <w:top w:w="0" w:type="dxa"/>
        <w:left w:w="0" w:type="dxa"/>
        <w:bottom w:w="0" w:type="dxa"/>
        <w:right w:w="0" w:type="dxa"/>
      </w:tblCellMar>
    </w:tblPr>
  </w:style>
  <w:style w:type="character" w:customStyle="1" w:styleId="13">
    <w:name w:val="页眉 Char"/>
    <w:link w:val="4"/>
    <w:qFormat/>
    <w:uiPriority w:val="0"/>
    <w:rPr>
      <w:rFonts w:ascii="Times New Roman" w:hAnsi="Times New Roman" w:eastAsia="宋体"/>
      <w:kern w:val="2"/>
      <w:sz w:val="18"/>
      <w:szCs w:val="18"/>
    </w:rPr>
  </w:style>
  <w:style w:type="character" w:customStyle="1" w:styleId="14">
    <w:name w:val="页脚 Char"/>
    <w:link w:val="3"/>
    <w:qFormat/>
    <w:uiPriority w:val="99"/>
    <w:rPr>
      <w:rFonts w:ascii="Times New Roman" w:hAnsi="Times New Roman" w:eastAsia="宋体"/>
      <w:kern w:val="2"/>
      <w:sz w:val="18"/>
      <w:szCs w:val="18"/>
    </w:rPr>
  </w:style>
  <w:style w:type="paragraph" w:customStyle="1" w:styleId="15">
    <w:name w:val="Acetate"/>
    <w:basedOn w:val="1"/>
    <w:link w:val="16"/>
    <w:semiHidden/>
    <w:qFormat/>
    <w:uiPriority w:val="0"/>
    <w:pPr>
      <w:spacing w:line="240" w:lineRule="auto"/>
      <w:ind w:firstLine="0"/>
    </w:pPr>
    <w:rPr>
      <w:rFonts w:eastAsia="宋体"/>
      <w:kern w:val="2"/>
      <w:sz w:val="18"/>
      <w:szCs w:val="18"/>
    </w:rPr>
  </w:style>
  <w:style w:type="character" w:customStyle="1" w:styleId="16">
    <w:name w:val="UserStyle_5"/>
    <w:link w:val="15"/>
    <w:semiHidden/>
    <w:qFormat/>
    <w:uiPriority w:val="0"/>
    <w:rPr>
      <w:rFonts w:ascii="Times New Roman" w:hAnsi="Times New Roman" w:eastAsia="宋体"/>
      <w:kern w:val="2"/>
      <w:sz w:val="18"/>
      <w:szCs w:val="18"/>
    </w:rPr>
  </w:style>
  <w:style w:type="character" w:customStyle="1" w:styleId="17">
    <w:name w:val="PageNumber"/>
    <w:basedOn w:val="7"/>
    <w:qFormat/>
    <w:uiPriority w:val="0"/>
  </w:style>
  <w:style w:type="character" w:customStyle="1" w:styleId="18">
    <w:name w:val="批注框文本 Char"/>
    <w:basedOn w:val="6"/>
    <w:link w:val="2"/>
    <w:semiHidden/>
    <w:qFormat/>
    <w:uiPriority w:val="99"/>
    <w:rPr>
      <w:rFonts w:ascii="Times New Roman" w:hAnsi="Times New Roman" w:eastAsia="方正仿宋_GBK"/>
      <w:sz w:val="18"/>
      <w:szCs w:val="1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497</Words>
  <Characters>2835</Characters>
  <Lines>23</Lines>
  <Paragraphs>6</Paragraphs>
  <TotalTime>8</TotalTime>
  <ScaleCrop>false</ScaleCrop>
  <LinksUpToDate>false</LinksUpToDate>
  <CharactersWithSpaces>3326</CharactersWithSpaces>
  <Application>WPS Office_11.1.0.9748_F1E327BC-269C-435d-A152-05C5408002CA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Administrator</cp:lastModifiedBy>
  <cp:lastPrinted>2021-05-30T01:06:00Z</cp:lastPrinted>
  <dcterms:modified xsi:type="dcterms:W3CDTF">2019-09-10T10:10:24Z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y fmtid="{D5CDD505-2E9C-101B-9397-08002B2CF9AE}" pid="3" name="ICV">
    <vt:lpwstr>1F3343830CBE4FD4AACC231A8A54CEB0</vt:lpwstr>
  </property>
</Properties>
</file>