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Lines="50" w:line="580" w:lineRule="exact"/>
        <w:ind w:firstLine="0"/>
        <w:jc w:val="center"/>
        <w:rPr>
          <w:rFonts w:hint="eastAsia" w:ascii="宋体" w:hAnsi="宋体" w:eastAsia="宋体"/>
          <w:spacing w:val="-8"/>
          <w:sz w:val="52"/>
          <w:szCs w:val="52"/>
          <w:lang w:val="en-US" w:eastAsia="zh-CN"/>
        </w:rPr>
      </w:pPr>
      <w:bookmarkStart w:id="0" w:name="_GoBack"/>
      <w:bookmarkEnd w:id="0"/>
    </w:p>
    <w:p>
      <w:pPr>
        <w:spacing w:afterLines="50" w:line="580" w:lineRule="exact"/>
        <w:ind w:firstLine="0"/>
        <w:jc w:val="center"/>
        <w:rPr>
          <w:rFonts w:ascii="宋体" w:hAnsi="宋体" w:eastAsia="宋体"/>
          <w:spacing w:val="-8"/>
          <w:sz w:val="52"/>
          <w:szCs w:val="52"/>
        </w:rPr>
      </w:pPr>
    </w:p>
    <w:p>
      <w:pPr>
        <w:spacing w:afterLines="50" w:line="580" w:lineRule="exact"/>
        <w:ind w:firstLine="0"/>
        <w:jc w:val="center"/>
        <w:rPr>
          <w:rFonts w:ascii="宋体" w:hAnsi="宋体" w:eastAsia="宋体"/>
          <w:spacing w:val="-8"/>
          <w:sz w:val="52"/>
          <w:szCs w:val="52"/>
        </w:rPr>
      </w:pPr>
    </w:p>
    <w:p>
      <w:pPr>
        <w:spacing w:afterLines="50" w:line="580" w:lineRule="exact"/>
        <w:ind w:firstLine="0"/>
        <w:jc w:val="center"/>
        <w:rPr>
          <w:rFonts w:ascii="宋体" w:hAnsi="宋体" w:eastAsia="宋体"/>
          <w:spacing w:val="-8"/>
          <w:sz w:val="52"/>
          <w:szCs w:val="52"/>
        </w:rPr>
      </w:pPr>
    </w:p>
    <w:p>
      <w:pPr>
        <w:spacing w:afterLines="50" w:line="580" w:lineRule="exact"/>
        <w:ind w:firstLine="0"/>
        <w:jc w:val="center"/>
        <w:rPr>
          <w:rFonts w:ascii="宋体" w:hAnsi="宋体" w:eastAsia="宋体"/>
          <w:spacing w:val="-8"/>
          <w:sz w:val="52"/>
          <w:szCs w:val="52"/>
        </w:rPr>
      </w:pPr>
    </w:p>
    <w:p>
      <w:pPr>
        <w:spacing w:line="580" w:lineRule="exact"/>
        <w:jc w:val="center"/>
        <w:rPr>
          <w:rFonts w:eastAsia="方正小标宋_GBK"/>
          <w:sz w:val="52"/>
          <w:szCs w:val="52"/>
        </w:rPr>
      </w:pPr>
      <w:r>
        <w:rPr>
          <w:rFonts w:hint="eastAsia" w:eastAsia="方正小标宋_GBK"/>
          <w:sz w:val="52"/>
          <w:szCs w:val="52"/>
        </w:rPr>
        <w:t>黎城县地震局2020年度部门</w:t>
      </w:r>
    </w:p>
    <w:p>
      <w:pPr>
        <w:spacing w:line="580" w:lineRule="exact"/>
        <w:jc w:val="center"/>
        <w:rPr>
          <w:rFonts w:eastAsia="方正小标宋_GBK"/>
          <w:sz w:val="52"/>
          <w:szCs w:val="52"/>
        </w:rPr>
      </w:pPr>
      <w:r>
        <w:rPr>
          <w:rFonts w:hint="eastAsia" w:eastAsia="方正小标宋_GBK"/>
          <w:sz w:val="52"/>
          <w:szCs w:val="52"/>
        </w:rPr>
        <w:t>预算公开</w:t>
      </w:r>
    </w:p>
    <w:p>
      <w:pPr>
        <w:spacing w:afterLines="50" w:line="580" w:lineRule="exact"/>
        <w:ind w:firstLine="0"/>
        <w:jc w:val="left"/>
        <w:rPr>
          <w:rFonts w:ascii="宋体" w:hAnsi="宋体" w:eastAsia="宋体"/>
          <w:spacing w:val="-8"/>
          <w:sz w:val="52"/>
          <w:szCs w:val="52"/>
        </w:rPr>
      </w:pPr>
    </w:p>
    <w:p>
      <w:pPr>
        <w:spacing w:afterLines="50" w:line="580" w:lineRule="exact"/>
        <w:ind w:firstLine="0"/>
        <w:jc w:val="left"/>
        <w:rPr>
          <w:rFonts w:ascii="宋体" w:hAnsi="宋体" w:eastAsia="宋体"/>
          <w:spacing w:val="-8"/>
          <w:sz w:val="52"/>
          <w:szCs w:val="52"/>
        </w:rPr>
      </w:pPr>
    </w:p>
    <w:p>
      <w:pPr>
        <w:spacing w:afterLines="50" w:line="580" w:lineRule="exact"/>
        <w:ind w:firstLine="0"/>
        <w:jc w:val="left"/>
        <w:rPr>
          <w:rFonts w:ascii="宋体" w:hAnsi="宋体" w:eastAsia="宋体"/>
          <w:spacing w:val="-8"/>
          <w:sz w:val="52"/>
          <w:szCs w:val="52"/>
        </w:rPr>
      </w:pPr>
    </w:p>
    <w:p>
      <w:pPr>
        <w:spacing w:afterLines="50" w:line="580" w:lineRule="exact"/>
        <w:ind w:firstLine="0"/>
        <w:jc w:val="left"/>
        <w:rPr>
          <w:rFonts w:ascii="宋体" w:hAnsi="宋体" w:eastAsia="宋体"/>
          <w:spacing w:val="-8"/>
          <w:sz w:val="52"/>
          <w:szCs w:val="52"/>
        </w:rPr>
      </w:pPr>
    </w:p>
    <w:p>
      <w:pPr>
        <w:spacing w:afterLines="50" w:line="400" w:lineRule="exact"/>
        <w:ind w:firstLine="0"/>
        <w:jc w:val="left"/>
        <w:rPr>
          <w:rFonts w:ascii="宋体" w:hAnsi="宋体" w:eastAsia="宋体"/>
          <w:spacing w:val="-8"/>
          <w:sz w:val="52"/>
          <w:szCs w:val="52"/>
        </w:rPr>
      </w:pPr>
      <w:r>
        <w:rPr>
          <w:rFonts w:ascii="宋体" w:hAnsi="宋体" w:eastAsia="宋体"/>
          <w:spacing w:val="-8"/>
          <w:sz w:val="52"/>
          <w:szCs w:val="52"/>
        </w:rPr>
        <w:br w:type="page"/>
      </w:r>
    </w:p>
    <w:p>
      <w:pPr>
        <w:spacing w:line="550" w:lineRule="exact"/>
        <w:jc w:val="center"/>
        <w:rPr>
          <w:rFonts w:eastAsia="方正小标宋_GBK"/>
          <w:sz w:val="44"/>
          <w:szCs w:val="44"/>
        </w:rPr>
      </w:pPr>
      <w:r>
        <w:rPr>
          <w:rFonts w:eastAsia="方正小标宋_GBK"/>
          <w:sz w:val="44"/>
          <w:szCs w:val="44"/>
        </w:rPr>
        <w:t>目  录</w:t>
      </w:r>
    </w:p>
    <w:p>
      <w:pPr>
        <w:spacing w:line="550" w:lineRule="exact"/>
        <w:jc w:val="center"/>
        <w:rPr>
          <w:rFonts w:eastAsia="方正小标宋_GBK"/>
          <w:sz w:val="44"/>
          <w:szCs w:val="44"/>
        </w:rPr>
      </w:pPr>
    </w:p>
    <w:p>
      <w:pPr>
        <w:spacing w:line="540" w:lineRule="exact"/>
        <w:ind w:firstLine="0"/>
        <w:rPr>
          <w:rFonts w:eastAsia="方正黑体_GBK"/>
          <w:szCs w:val="32"/>
        </w:rPr>
      </w:pPr>
      <w:r>
        <w:rPr>
          <w:rFonts w:eastAsia="方正黑体_GBK"/>
          <w:szCs w:val="32"/>
        </w:rPr>
        <w:t>第一部分 部门概况</w:t>
      </w:r>
    </w:p>
    <w:p>
      <w:pPr>
        <w:spacing w:line="540" w:lineRule="exact"/>
        <w:ind w:firstLine="0"/>
        <w:rPr>
          <w:rFonts w:eastAsia="方正黑体_GBK"/>
          <w:szCs w:val="32"/>
        </w:rPr>
      </w:pPr>
      <w:r>
        <w:rPr>
          <w:rFonts w:eastAsia="方正黑体_GBK"/>
          <w:szCs w:val="32"/>
        </w:rPr>
        <w:t>一、主要职能</w:t>
      </w:r>
    </w:p>
    <w:p>
      <w:pPr>
        <w:spacing w:line="540" w:lineRule="exact"/>
        <w:ind w:firstLine="0"/>
        <w:rPr>
          <w:rFonts w:eastAsia="方正黑体_GBK"/>
          <w:szCs w:val="32"/>
        </w:rPr>
      </w:pPr>
      <w:r>
        <w:rPr>
          <w:rFonts w:eastAsia="方正黑体_GBK"/>
          <w:szCs w:val="32"/>
        </w:rPr>
        <w:t>二、部门机构设置及预算单位构成情况</w:t>
      </w:r>
    </w:p>
    <w:p>
      <w:pPr>
        <w:spacing w:line="540" w:lineRule="exact"/>
        <w:ind w:firstLine="0"/>
        <w:rPr>
          <w:szCs w:val="32"/>
        </w:rPr>
      </w:pPr>
      <w:r>
        <w:rPr>
          <w:rFonts w:eastAsia="方正黑体_GBK"/>
          <w:szCs w:val="32"/>
        </w:rPr>
        <w:t>三、</w:t>
      </w:r>
      <w:r>
        <w:rPr>
          <w:rFonts w:hint="eastAsia" w:eastAsia="方正黑体_GBK"/>
          <w:szCs w:val="32"/>
        </w:rPr>
        <w:t>2020</w:t>
      </w:r>
      <w:r>
        <w:rPr>
          <w:rFonts w:eastAsia="方正黑体_GBK"/>
          <w:szCs w:val="32"/>
        </w:rPr>
        <w:t>年度部门主要工作任务及目标</w:t>
      </w:r>
    </w:p>
    <w:p>
      <w:pPr>
        <w:spacing w:line="540" w:lineRule="exact"/>
        <w:ind w:firstLine="0"/>
        <w:rPr>
          <w:rFonts w:eastAsia="方正黑体_GBK"/>
          <w:szCs w:val="32"/>
        </w:rPr>
      </w:pPr>
      <w:r>
        <w:rPr>
          <w:rFonts w:eastAsia="方正黑体_GBK"/>
          <w:szCs w:val="32"/>
        </w:rPr>
        <w:t>第二部分</w:t>
      </w:r>
      <w:r>
        <w:rPr>
          <w:rFonts w:hint="eastAsia" w:eastAsia="方正黑体_GBK"/>
          <w:szCs w:val="32"/>
        </w:rPr>
        <w:t xml:space="preserve"> 2020</w:t>
      </w:r>
      <w:r>
        <w:rPr>
          <w:rFonts w:eastAsia="方正黑体_GBK"/>
          <w:szCs w:val="32"/>
        </w:rPr>
        <w:t>年度部门预算表</w:t>
      </w:r>
      <w:r>
        <w:rPr>
          <w:rFonts w:hint="eastAsia" w:eastAsia="方正黑体_GBK"/>
          <w:szCs w:val="32"/>
        </w:rPr>
        <w:t>（略，详见附表）</w:t>
      </w:r>
    </w:p>
    <w:p>
      <w:pPr>
        <w:spacing w:line="540" w:lineRule="exact"/>
        <w:ind w:firstLine="0"/>
        <w:rPr>
          <w:rFonts w:eastAsia="方正黑体_GBK"/>
          <w:szCs w:val="32"/>
        </w:rPr>
      </w:pPr>
      <w:r>
        <w:rPr>
          <w:rFonts w:eastAsia="方正黑体_GBK"/>
          <w:szCs w:val="32"/>
        </w:rPr>
        <w:t xml:space="preserve">第三部分 </w:t>
      </w:r>
      <w:r>
        <w:rPr>
          <w:rFonts w:hint="eastAsia" w:eastAsia="方正黑体_GBK"/>
          <w:szCs w:val="32"/>
        </w:rPr>
        <w:t>2020</w:t>
      </w:r>
      <w:r>
        <w:rPr>
          <w:rFonts w:eastAsia="方正黑体_GBK"/>
          <w:szCs w:val="32"/>
        </w:rPr>
        <w:t>年度部门预算情况说明</w:t>
      </w:r>
    </w:p>
    <w:p>
      <w:pPr>
        <w:spacing w:line="540" w:lineRule="exact"/>
        <w:ind w:firstLine="0"/>
        <w:rPr>
          <w:rFonts w:eastAsia="方正小标宋_GBK"/>
          <w:sz w:val="36"/>
          <w:szCs w:val="36"/>
        </w:rPr>
      </w:pPr>
      <w:r>
        <w:rPr>
          <w:rFonts w:eastAsia="方正黑体_GBK"/>
          <w:szCs w:val="32"/>
        </w:rPr>
        <w:t>第四部分 名词解释</w:t>
      </w:r>
    </w:p>
    <w:p>
      <w:pPr>
        <w:ind w:firstLine="0"/>
        <w:rPr>
          <w:rFonts w:ascii="宋体" w:hAnsi="宋体" w:eastAsia="宋体"/>
          <w:sz w:val="44"/>
          <w:szCs w:val="44"/>
        </w:rPr>
      </w:pPr>
      <w:r>
        <w:rPr>
          <w:rFonts w:ascii="宋体" w:hAnsi="宋体" w:eastAsia="宋体"/>
          <w:sz w:val="44"/>
          <w:szCs w:val="44"/>
        </w:rPr>
        <w:br w:type="page"/>
      </w:r>
    </w:p>
    <w:p>
      <w:pPr>
        <w:spacing w:before="100" w:beforeAutospacing="1" w:after="100" w:afterAutospacing="1" w:line="550" w:lineRule="exact"/>
        <w:jc w:val="center"/>
        <w:rPr>
          <w:rFonts w:eastAsia="方正小标宋_GBK"/>
          <w:sz w:val="36"/>
          <w:szCs w:val="36"/>
        </w:rPr>
      </w:pPr>
      <w:r>
        <w:rPr>
          <w:rFonts w:eastAsia="方正小标宋_GBK"/>
          <w:sz w:val="36"/>
          <w:szCs w:val="36"/>
        </w:rPr>
        <w:t>第一部分　部门概况</w:t>
      </w:r>
    </w:p>
    <w:p>
      <w:pPr>
        <w:spacing w:before="100" w:beforeAutospacing="1" w:after="100" w:afterAutospacing="1" w:line="550" w:lineRule="exact"/>
        <w:jc w:val="left"/>
        <w:rPr>
          <w:rFonts w:eastAsia="方正小标宋_GBK"/>
          <w:sz w:val="36"/>
          <w:szCs w:val="36"/>
        </w:rPr>
      </w:pPr>
      <w:r>
        <w:rPr>
          <w:rFonts w:hint="eastAsia" w:eastAsia="方正小标宋_GBK"/>
          <w:sz w:val="36"/>
          <w:szCs w:val="36"/>
        </w:rPr>
        <w:t>一、主要职能</w:t>
      </w:r>
    </w:p>
    <w:p>
      <w:pPr>
        <w:spacing w:before="100" w:beforeAutospacing="1" w:after="100" w:afterAutospacing="1" w:line="550" w:lineRule="exact"/>
        <w:ind w:firstLine="720" w:firstLineChars="200"/>
        <w:jc w:val="left"/>
        <w:rPr>
          <w:rFonts w:eastAsia="方正小标宋_GBK"/>
          <w:sz w:val="36"/>
          <w:szCs w:val="36"/>
        </w:rPr>
      </w:pPr>
      <w:r>
        <w:rPr>
          <w:rFonts w:hint="eastAsia" w:eastAsia="方正小标宋_GBK"/>
          <w:sz w:val="36"/>
          <w:szCs w:val="36"/>
        </w:rPr>
        <w:t>1、实施防震减灾的法律法规和规章；</w:t>
      </w:r>
    </w:p>
    <w:p>
      <w:pPr>
        <w:spacing w:before="100" w:beforeAutospacing="1" w:after="100" w:afterAutospacing="1" w:line="550" w:lineRule="exact"/>
        <w:ind w:firstLine="720" w:firstLineChars="200"/>
        <w:jc w:val="left"/>
        <w:rPr>
          <w:rFonts w:eastAsia="方正小标宋_GBK"/>
          <w:sz w:val="36"/>
          <w:szCs w:val="36"/>
        </w:rPr>
      </w:pPr>
      <w:r>
        <w:rPr>
          <w:rFonts w:hint="eastAsia" w:eastAsia="方正小标宋_GBK"/>
          <w:sz w:val="36"/>
          <w:szCs w:val="36"/>
        </w:rPr>
        <w:t>2、会同有关部门编制防震减灾规划和拟订破坏性地震应急预案，报同级人民政府批准后实施；</w:t>
      </w:r>
    </w:p>
    <w:p>
      <w:pPr>
        <w:spacing w:before="100" w:beforeAutospacing="1" w:after="100" w:afterAutospacing="1" w:line="550" w:lineRule="exact"/>
        <w:ind w:firstLine="720" w:firstLineChars="200"/>
        <w:jc w:val="left"/>
        <w:rPr>
          <w:rFonts w:eastAsia="方正小标宋_GBK"/>
          <w:sz w:val="36"/>
          <w:szCs w:val="36"/>
        </w:rPr>
      </w:pPr>
      <w:r>
        <w:rPr>
          <w:rFonts w:hint="eastAsia" w:eastAsia="方正小标宋_GBK"/>
          <w:sz w:val="36"/>
          <w:szCs w:val="36"/>
        </w:rPr>
        <w:t>3、管理地震监测预报工作，提出地震趋势预报意见；</w:t>
      </w:r>
    </w:p>
    <w:p>
      <w:pPr>
        <w:spacing w:before="100" w:beforeAutospacing="1" w:after="100" w:afterAutospacing="1" w:line="550" w:lineRule="exact"/>
        <w:ind w:firstLine="720" w:firstLineChars="200"/>
        <w:jc w:val="left"/>
        <w:rPr>
          <w:rFonts w:eastAsia="方正小标宋_GBK"/>
          <w:sz w:val="36"/>
          <w:szCs w:val="36"/>
        </w:rPr>
      </w:pPr>
      <w:r>
        <w:rPr>
          <w:rFonts w:hint="eastAsia" w:eastAsia="方正小标宋_GBK"/>
          <w:sz w:val="36"/>
          <w:szCs w:val="36"/>
        </w:rPr>
        <w:t>4、参与震区救灾和制定重建规划；</w:t>
      </w:r>
    </w:p>
    <w:p>
      <w:pPr>
        <w:spacing w:before="100" w:beforeAutospacing="1" w:after="100" w:afterAutospacing="1" w:line="550" w:lineRule="exact"/>
        <w:ind w:firstLine="720" w:firstLineChars="200"/>
        <w:jc w:val="left"/>
        <w:rPr>
          <w:rFonts w:eastAsia="方正小标宋_GBK"/>
          <w:sz w:val="36"/>
          <w:szCs w:val="36"/>
        </w:rPr>
      </w:pPr>
      <w:r>
        <w:rPr>
          <w:rFonts w:hint="eastAsia" w:eastAsia="方正小标宋_GBK"/>
          <w:sz w:val="36"/>
          <w:szCs w:val="36"/>
        </w:rPr>
        <w:t>5、会同有关部门开展防震减灾知识的宣传教育工作。  </w:t>
      </w:r>
    </w:p>
    <w:p>
      <w:pPr>
        <w:spacing w:before="100" w:beforeAutospacing="1" w:after="100" w:afterAutospacing="1" w:line="550" w:lineRule="exact"/>
        <w:jc w:val="left"/>
        <w:rPr>
          <w:rFonts w:eastAsia="方正小标宋_GBK"/>
          <w:sz w:val="36"/>
          <w:szCs w:val="36"/>
        </w:rPr>
      </w:pPr>
      <w:r>
        <w:rPr>
          <w:rFonts w:hint="eastAsia" w:eastAsia="方正小标宋_GBK"/>
          <w:sz w:val="36"/>
          <w:szCs w:val="36"/>
        </w:rPr>
        <w:t>二、部门机构设置及预算单位构成情况</w:t>
      </w:r>
    </w:p>
    <w:p>
      <w:pPr>
        <w:spacing w:before="100" w:beforeAutospacing="1" w:after="100" w:afterAutospacing="1" w:line="550" w:lineRule="exact"/>
        <w:jc w:val="left"/>
        <w:rPr>
          <w:rFonts w:eastAsia="方正小标宋_GBK"/>
          <w:sz w:val="36"/>
          <w:szCs w:val="36"/>
        </w:rPr>
      </w:pPr>
      <w:r>
        <w:rPr>
          <w:rFonts w:hint="eastAsia" w:eastAsia="方正小标宋_GBK"/>
          <w:sz w:val="36"/>
          <w:szCs w:val="36"/>
        </w:rPr>
        <w:t>1．部门预算单位包括：一个参照公务员管理事业单位：黎城县地震局，单位下设办公室和财务科、业务科三个科室。编制9人，实有人数6人。</w:t>
      </w:r>
    </w:p>
    <w:p>
      <w:pPr>
        <w:spacing w:before="100" w:beforeAutospacing="1" w:after="100" w:afterAutospacing="1" w:line="550" w:lineRule="exact"/>
        <w:jc w:val="left"/>
        <w:rPr>
          <w:rFonts w:eastAsia="方正小标宋_GBK"/>
          <w:sz w:val="36"/>
          <w:szCs w:val="36"/>
        </w:rPr>
      </w:pPr>
      <w:r>
        <w:rPr>
          <w:rFonts w:hint="eastAsia" w:eastAsia="方正小标宋_GBK"/>
          <w:sz w:val="36"/>
          <w:szCs w:val="36"/>
        </w:rPr>
        <w:t>2、纳入预决算部门统计范围1个，具体包括：地震局部门本级。本部门无下属单位。</w:t>
      </w:r>
    </w:p>
    <w:p>
      <w:pPr>
        <w:spacing w:before="100" w:beforeAutospacing="1" w:after="100" w:afterAutospacing="1" w:line="550" w:lineRule="exact"/>
        <w:jc w:val="left"/>
        <w:rPr>
          <w:rFonts w:eastAsia="方正小标宋_GBK"/>
          <w:sz w:val="36"/>
          <w:szCs w:val="36"/>
        </w:rPr>
      </w:pPr>
      <w:r>
        <w:rPr>
          <w:rFonts w:hint="eastAsia" w:eastAsia="方正小标宋_GBK"/>
          <w:sz w:val="36"/>
          <w:szCs w:val="36"/>
        </w:rPr>
        <w:t>三、2020年部门主要工作任务及目标</w:t>
      </w:r>
    </w:p>
    <w:p>
      <w:pPr>
        <w:spacing w:before="100" w:beforeAutospacing="1" w:after="100" w:afterAutospacing="1" w:line="550" w:lineRule="exact"/>
        <w:jc w:val="left"/>
        <w:rPr>
          <w:rFonts w:eastAsia="方正小标宋_GBK"/>
          <w:sz w:val="36"/>
          <w:szCs w:val="36"/>
        </w:rPr>
      </w:pPr>
      <w:r>
        <w:rPr>
          <w:rFonts w:hint="eastAsia" w:eastAsia="方正小标宋_GBK"/>
          <w:sz w:val="36"/>
          <w:szCs w:val="36"/>
        </w:rPr>
        <w:t>1、继续加强防震减灾知识的宣传普及工作；</w:t>
      </w:r>
    </w:p>
    <w:p>
      <w:pPr>
        <w:spacing w:before="100" w:beforeAutospacing="1" w:after="100" w:afterAutospacing="1" w:line="550" w:lineRule="exact"/>
        <w:jc w:val="left"/>
        <w:rPr>
          <w:rFonts w:eastAsia="方正小标宋_GBK"/>
          <w:sz w:val="36"/>
          <w:szCs w:val="36"/>
        </w:rPr>
      </w:pPr>
      <w:r>
        <w:rPr>
          <w:rFonts w:hint="eastAsia" w:eastAsia="方正小标宋_GBK"/>
          <w:sz w:val="36"/>
          <w:szCs w:val="36"/>
        </w:rPr>
        <w:t>2、开展防震减灾科普基地示范学校、示范社区建设；</w:t>
      </w:r>
    </w:p>
    <w:p>
      <w:pPr>
        <w:spacing w:before="100" w:beforeAutospacing="1" w:after="100" w:afterAutospacing="1" w:line="550" w:lineRule="exact"/>
        <w:jc w:val="left"/>
        <w:rPr>
          <w:rFonts w:eastAsia="方正小标宋_GBK"/>
          <w:sz w:val="36"/>
          <w:szCs w:val="36"/>
        </w:rPr>
      </w:pPr>
      <w:r>
        <w:rPr>
          <w:rFonts w:hint="eastAsia" w:eastAsia="方正小标宋_GBK"/>
          <w:sz w:val="36"/>
          <w:szCs w:val="36"/>
        </w:rPr>
        <w:t>3、扎实做好震情监测跟踪和会商研判；</w:t>
      </w:r>
    </w:p>
    <w:p>
      <w:pPr>
        <w:spacing w:before="100" w:beforeAutospacing="1" w:after="100" w:afterAutospacing="1" w:line="550" w:lineRule="exact"/>
        <w:jc w:val="left"/>
        <w:rPr>
          <w:rFonts w:eastAsia="方正小标宋_GBK"/>
          <w:sz w:val="36"/>
          <w:szCs w:val="36"/>
        </w:rPr>
      </w:pPr>
      <w:r>
        <w:rPr>
          <w:rFonts w:hint="eastAsia" w:eastAsia="方正小标宋_GBK"/>
          <w:sz w:val="36"/>
          <w:szCs w:val="36"/>
        </w:rPr>
        <w:t>4、健全 “三网一员”和地震宏观观测点建设；</w:t>
      </w:r>
    </w:p>
    <w:p>
      <w:pPr>
        <w:spacing w:before="100" w:beforeAutospacing="1" w:after="100" w:afterAutospacing="1" w:line="550" w:lineRule="exact"/>
        <w:jc w:val="left"/>
        <w:rPr>
          <w:rFonts w:eastAsia="方正小标宋_GBK"/>
          <w:sz w:val="36"/>
          <w:szCs w:val="36"/>
        </w:rPr>
      </w:pPr>
      <w:r>
        <w:rPr>
          <w:rFonts w:hint="eastAsia" w:eastAsia="方正小标宋_GBK"/>
          <w:sz w:val="36"/>
          <w:szCs w:val="36"/>
        </w:rPr>
        <w:t>5、进一步加强地震应急工作；</w:t>
      </w:r>
    </w:p>
    <w:p>
      <w:pPr>
        <w:spacing w:before="100" w:beforeAutospacing="1" w:after="100" w:afterAutospacing="1" w:line="550" w:lineRule="exact"/>
        <w:jc w:val="left"/>
        <w:rPr>
          <w:rFonts w:eastAsia="方正小标宋_GBK"/>
          <w:sz w:val="36"/>
          <w:szCs w:val="36"/>
        </w:rPr>
      </w:pPr>
      <w:r>
        <w:rPr>
          <w:rFonts w:hint="eastAsia" w:eastAsia="方正小标宋_GBK"/>
          <w:sz w:val="36"/>
          <w:szCs w:val="36"/>
        </w:rPr>
        <w:t>6、扎实开展脱贫攻坚各项工作；</w:t>
      </w:r>
    </w:p>
    <w:p>
      <w:pPr>
        <w:spacing w:before="100" w:beforeAutospacing="1" w:after="100" w:afterAutospacing="1" w:line="550" w:lineRule="exact"/>
        <w:jc w:val="left"/>
        <w:rPr>
          <w:rFonts w:eastAsia="方正小标宋_GBK"/>
          <w:sz w:val="36"/>
          <w:szCs w:val="36"/>
        </w:rPr>
      </w:pPr>
      <w:r>
        <w:rPr>
          <w:rFonts w:hint="eastAsia" w:eastAsia="方正小标宋_GBK"/>
          <w:sz w:val="36"/>
          <w:szCs w:val="36"/>
        </w:rPr>
        <w:t>7、继续加强党员干部党风廉政建设;</w:t>
      </w:r>
    </w:p>
    <w:p>
      <w:pPr>
        <w:spacing w:before="100" w:beforeAutospacing="1" w:after="100" w:afterAutospacing="1" w:line="550" w:lineRule="exact"/>
        <w:jc w:val="left"/>
        <w:rPr>
          <w:rFonts w:eastAsia="方正小标宋_GBK"/>
          <w:sz w:val="36"/>
          <w:szCs w:val="36"/>
        </w:rPr>
      </w:pPr>
      <w:r>
        <w:rPr>
          <w:rFonts w:hint="eastAsia" w:eastAsia="方正小标宋_GBK"/>
          <w:sz w:val="36"/>
          <w:szCs w:val="36"/>
        </w:rPr>
        <w:t>8、继续加强机关建设，做好档案、人事劳资、扫黑除恶、垃圾分类、禁毒等工作。</w:t>
      </w:r>
    </w:p>
    <w:p>
      <w:pPr>
        <w:spacing w:before="100" w:beforeAutospacing="1" w:after="100" w:afterAutospacing="1" w:line="550" w:lineRule="exact"/>
        <w:jc w:val="center"/>
        <w:rPr>
          <w:rFonts w:eastAsia="方正小标宋_GBK"/>
          <w:sz w:val="36"/>
          <w:szCs w:val="36"/>
        </w:rPr>
      </w:pPr>
    </w:p>
    <w:p>
      <w:pPr>
        <w:spacing w:before="100" w:beforeAutospacing="1" w:after="100" w:afterAutospacing="1" w:line="550" w:lineRule="exact"/>
        <w:ind w:firstLine="0"/>
        <w:jc w:val="center"/>
        <w:rPr>
          <w:rFonts w:eastAsia="方正小标宋_GBK"/>
        </w:rPr>
      </w:pPr>
      <w:r>
        <w:rPr>
          <w:rFonts w:eastAsia="方正小标宋_GBK"/>
          <w:sz w:val="36"/>
          <w:szCs w:val="36"/>
        </w:rPr>
        <w:t>第二部分　部门预算表</w:t>
      </w:r>
      <w:r>
        <w:rPr>
          <w:rFonts w:hint="eastAsia" w:eastAsia="方正小标宋_GBK"/>
          <w:sz w:val="36"/>
          <w:szCs w:val="36"/>
        </w:rPr>
        <w:t>（略，详见附表）</w:t>
      </w:r>
    </w:p>
    <w:p>
      <w:pPr>
        <w:spacing w:before="100" w:beforeAutospacing="1" w:after="100" w:afterAutospacing="1" w:line="550" w:lineRule="exact"/>
        <w:ind w:firstLine="0"/>
        <w:jc w:val="center"/>
        <w:rPr>
          <w:rFonts w:eastAsia="方正小标宋_GBK"/>
          <w:sz w:val="36"/>
          <w:szCs w:val="36"/>
        </w:rPr>
      </w:pPr>
      <w:r>
        <w:rPr>
          <w:rFonts w:hint="eastAsia" w:eastAsia="方正小标宋_GBK"/>
          <w:sz w:val="36"/>
          <w:szCs w:val="36"/>
        </w:rPr>
        <w:t>第三部分  2020年度部门预算情况说明</w:t>
      </w:r>
    </w:p>
    <w:p>
      <w:pPr>
        <w:spacing w:beforeLines="50" w:line="550" w:lineRule="exact"/>
        <w:ind w:firstLine="640" w:firstLineChars="200"/>
        <w:rPr>
          <w:rFonts w:ascii="方正黑体_GBK" w:eastAsia="方正黑体_GBK"/>
          <w:szCs w:val="32"/>
        </w:rPr>
      </w:pPr>
      <w:r>
        <w:rPr>
          <w:rFonts w:hint="eastAsia" w:ascii="方正黑体_GBK" w:eastAsia="方正黑体_GBK"/>
          <w:szCs w:val="32"/>
        </w:rPr>
        <w:t>一、收支预算总体情况说明</w:t>
      </w:r>
    </w:p>
    <w:p>
      <w:pPr>
        <w:spacing w:beforeLines="50" w:line="550" w:lineRule="exact"/>
        <w:ind w:firstLine="640" w:firstLineChars="200"/>
        <w:rPr>
          <w:rFonts w:ascii="方正黑体_GBK" w:eastAsia="方正黑体_GBK"/>
          <w:szCs w:val="32"/>
        </w:rPr>
      </w:pPr>
      <w:r>
        <w:rPr>
          <w:rFonts w:hint="eastAsia" w:ascii="方正黑体_GBK" w:eastAsia="方正黑体_GBK"/>
          <w:szCs w:val="32"/>
        </w:rPr>
        <w:t>本部门本年度收入预算总计73.67万元、支出预算总计73.67万元，与上年相比收、支预算总计各减少8.75万元，减少10.62%。主要原因是年度人员调出1人。</w:t>
      </w:r>
    </w:p>
    <w:p>
      <w:pPr>
        <w:spacing w:beforeLines="50" w:line="550" w:lineRule="exact"/>
        <w:ind w:firstLine="640" w:firstLineChars="200"/>
        <w:rPr>
          <w:rFonts w:ascii="宋体" w:hAnsi="宋体" w:eastAsia="宋体" w:cs="华文仿宋"/>
          <w:szCs w:val="32"/>
        </w:rPr>
      </w:pPr>
      <w:r>
        <w:rPr>
          <w:rFonts w:hint="eastAsia" w:ascii="方正黑体_GBK" w:eastAsia="方正黑体_GBK"/>
          <w:szCs w:val="32"/>
        </w:rPr>
        <w:t>（一）收入预算总计73.67万元。包括：</w:t>
      </w:r>
    </w:p>
    <w:p>
      <w:pPr>
        <w:spacing w:beforeLines="50" w:line="550" w:lineRule="exact"/>
        <w:ind w:firstLine="640" w:firstLineChars="200"/>
        <w:rPr>
          <w:rFonts w:ascii="方正黑体_GBK" w:eastAsia="方正黑体_GBK"/>
          <w:szCs w:val="32"/>
        </w:rPr>
      </w:pPr>
      <w:r>
        <w:rPr>
          <w:rFonts w:hint="eastAsia" w:ascii="方正黑体_GBK" w:eastAsia="方正黑体_GBK"/>
          <w:szCs w:val="32"/>
        </w:rPr>
        <w:t>1．财政拨款收入预算总计73.67万元。</w:t>
      </w:r>
    </w:p>
    <w:p>
      <w:pPr>
        <w:spacing w:beforeLines="50" w:line="550" w:lineRule="exact"/>
        <w:ind w:firstLine="640" w:firstLineChars="200"/>
        <w:rPr>
          <w:rFonts w:ascii="方正黑体_GBK" w:eastAsia="方正黑体_GBK"/>
          <w:szCs w:val="32"/>
        </w:rPr>
      </w:pPr>
      <w:r>
        <w:rPr>
          <w:rFonts w:hint="eastAsia" w:ascii="方正黑体_GBK" w:eastAsia="方正黑体_GBK"/>
          <w:szCs w:val="32"/>
        </w:rPr>
        <w:t>（1）一般公共预算收入预算73.67万元，与上年相比减少8.75万元，减少10.62%。主要原因是年度人员调出1人。</w:t>
      </w:r>
    </w:p>
    <w:p>
      <w:pPr>
        <w:spacing w:beforeLines="50" w:line="550" w:lineRule="exact"/>
        <w:ind w:firstLine="640" w:firstLineChars="200"/>
        <w:rPr>
          <w:rFonts w:ascii="方正黑体_GBK" w:eastAsia="方正黑体_GBK"/>
          <w:szCs w:val="32"/>
        </w:rPr>
      </w:pPr>
      <w:r>
        <w:rPr>
          <w:rFonts w:hint="eastAsia" w:ascii="方正黑体_GBK" w:eastAsia="方正黑体_GBK"/>
          <w:szCs w:val="32"/>
        </w:rPr>
        <w:t>（2）政府性基金收入预算0万元。</w:t>
      </w:r>
    </w:p>
    <w:p>
      <w:pPr>
        <w:spacing w:beforeLines="50" w:line="550" w:lineRule="exact"/>
        <w:ind w:firstLine="640" w:firstLineChars="200"/>
        <w:rPr>
          <w:rFonts w:ascii="方正黑体_GBK" w:eastAsia="方正黑体_GBK"/>
          <w:szCs w:val="32"/>
        </w:rPr>
      </w:pPr>
      <w:r>
        <w:rPr>
          <w:rFonts w:hint="eastAsia" w:ascii="方正黑体_GBK" w:eastAsia="方正黑体_GBK"/>
          <w:szCs w:val="32"/>
        </w:rPr>
        <w:t>（二）支出预算总计73.67万元。包括：</w:t>
      </w:r>
    </w:p>
    <w:p>
      <w:pPr>
        <w:spacing w:beforeLines="50" w:line="550" w:lineRule="exact"/>
        <w:ind w:firstLine="640" w:firstLineChars="200"/>
        <w:rPr>
          <w:rFonts w:ascii="方正黑体_GBK" w:eastAsia="方正黑体_GBK"/>
          <w:szCs w:val="32"/>
        </w:rPr>
      </w:pPr>
      <w:r>
        <w:rPr>
          <w:rFonts w:hint="eastAsia" w:ascii="方正黑体_GBK" w:eastAsia="方正黑体_GBK"/>
          <w:szCs w:val="32"/>
        </w:rPr>
        <w:t>1. 社会保障和就业支出7.42万元，主要用于单位职工基本养老保险缴费支出，与上年相比减少2.75万元，减少27.04%。主要原因是年度调出1人。</w:t>
      </w:r>
    </w:p>
    <w:p>
      <w:pPr>
        <w:spacing w:beforeLines="50" w:line="550" w:lineRule="exact"/>
        <w:ind w:firstLine="640" w:firstLineChars="200"/>
        <w:rPr>
          <w:rFonts w:ascii="方正黑体_GBK" w:eastAsia="方正黑体_GBK"/>
          <w:szCs w:val="32"/>
        </w:rPr>
      </w:pPr>
      <w:r>
        <w:rPr>
          <w:rFonts w:hint="eastAsia" w:ascii="方正黑体_GBK" w:eastAsia="方正黑体_GBK"/>
          <w:szCs w:val="32"/>
        </w:rPr>
        <w:t>2. 住房保障支出5.56万元，主要用于单位职工住房公积金缴纳，与上年相比减少0.54万元，减少8.85%。主要原因是年度调出1人。</w:t>
      </w:r>
    </w:p>
    <w:p>
      <w:pPr>
        <w:spacing w:beforeLines="50" w:line="550" w:lineRule="exact"/>
        <w:ind w:firstLine="640" w:firstLineChars="200"/>
        <w:rPr>
          <w:rFonts w:ascii="方正黑体_GBK" w:eastAsia="方正黑体_GBK"/>
          <w:szCs w:val="32"/>
        </w:rPr>
      </w:pPr>
      <w:r>
        <w:rPr>
          <w:rFonts w:hint="eastAsia" w:ascii="方正黑体_GBK" w:eastAsia="方正黑体_GBK"/>
          <w:szCs w:val="32"/>
        </w:rPr>
        <w:t>3、一般公共服务支出60.69万元，主要用于维持单位日常工作开展支出需要。与上年相比减少5.45万元，减少8.24%。主要原因是年度调出1人，工作经费预算减少。</w:t>
      </w:r>
    </w:p>
    <w:p>
      <w:pPr>
        <w:spacing w:beforeLines="50" w:line="550" w:lineRule="exact"/>
        <w:ind w:firstLine="640" w:firstLineChars="200"/>
        <w:rPr>
          <w:rFonts w:ascii="方正黑体_GBK" w:eastAsia="方正黑体_GBK"/>
          <w:szCs w:val="32"/>
        </w:rPr>
      </w:pPr>
      <w:r>
        <w:rPr>
          <w:rFonts w:hint="eastAsia" w:ascii="方正黑体_GBK" w:eastAsia="方正黑体_GBK"/>
          <w:szCs w:val="32"/>
        </w:rPr>
        <w:t>此外，基本支出预算数为73.67万元，与上年相比减少8.75万元，减少10.62%。主要原因是年度调出1人。</w:t>
      </w:r>
    </w:p>
    <w:p>
      <w:pPr>
        <w:spacing w:beforeLines="50" w:line="550" w:lineRule="exact"/>
        <w:ind w:firstLine="640" w:firstLineChars="200"/>
        <w:rPr>
          <w:rFonts w:ascii="宋体" w:hAnsi="宋体" w:eastAsia="宋体" w:cs="华文仿宋"/>
          <w:szCs w:val="32"/>
        </w:rPr>
      </w:pPr>
      <w:r>
        <w:rPr>
          <w:rFonts w:hint="eastAsia" w:ascii="方正黑体_GBK" w:eastAsia="方正黑体_GBK"/>
          <w:szCs w:val="32"/>
        </w:rPr>
        <w:t>项目支出预算数为0万元，与上年相比增加0万元，增长0%。</w:t>
      </w:r>
    </w:p>
    <w:p>
      <w:pPr>
        <w:spacing w:line="550" w:lineRule="exact"/>
        <w:ind w:firstLine="640" w:firstLineChars="200"/>
        <w:rPr>
          <w:i/>
          <w:szCs w:val="32"/>
        </w:rPr>
      </w:pPr>
      <w:r>
        <w:rPr>
          <w:rFonts w:ascii="方正黑体_GBK" w:eastAsia="方正黑体_GBK"/>
          <w:szCs w:val="32"/>
        </w:rPr>
        <w:t>二、</w:t>
      </w:r>
      <w:r>
        <w:rPr>
          <w:rFonts w:hint="eastAsia" w:ascii="方正黑体_GBK" w:eastAsia="方正黑体_GBK"/>
          <w:szCs w:val="32"/>
        </w:rPr>
        <w:t>部门收入总体情况表</w:t>
      </w:r>
      <w:r>
        <w:rPr>
          <w:rFonts w:ascii="方正黑体_GBK" w:eastAsia="方正黑体_GBK"/>
          <w:szCs w:val="32"/>
        </w:rPr>
        <w:t>说明</w:t>
      </w:r>
    </w:p>
    <w:p>
      <w:pPr>
        <w:spacing w:beforeLines="50" w:line="550" w:lineRule="exact"/>
        <w:ind w:firstLine="640" w:firstLineChars="200"/>
        <w:rPr>
          <w:rFonts w:ascii="方正黑体_GBK" w:eastAsia="方正黑体_GBK"/>
          <w:szCs w:val="32"/>
        </w:rPr>
      </w:pPr>
      <w:r>
        <w:rPr>
          <w:rFonts w:hint="eastAsia" w:ascii="方正黑体_GBK" w:eastAsia="方正黑体_GBK"/>
          <w:szCs w:val="32"/>
        </w:rPr>
        <w:t>本部门本年度收入预算合计73.67万元，其中：一般公共预算收入73.67万元，占100%；</w:t>
      </w:r>
    </w:p>
    <w:p>
      <w:pPr>
        <w:numPr>
          <w:ilvl w:val="0"/>
          <w:numId w:val="1"/>
        </w:numPr>
        <w:spacing w:line="550" w:lineRule="exact"/>
        <w:ind w:firstLine="640" w:firstLineChars="200"/>
        <w:rPr>
          <w:rFonts w:ascii="方正黑体_GBK" w:eastAsia="方正黑体_GBK"/>
          <w:szCs w:val="32"/>
        </w:rPr>
      </w:pPr>
      <w:r>
        <w:rPr>
          <w:rFonts w:hint="eastAsia" w:ascii="方正黑体_GBK" w:eastAsia="方正黑体_GBK"/>
          <w:szCs w:val="32"/>
        </w:rPr>
        <w:t>部门支出总体情况表</w:t>
      </w:r>
      <w:r>
        <w:rPr>
          <w:rFonts w:ascii="方正黑体_GBK" w:eastAsia="方正黑体_GBK"/>
          <w:szCs w:val="32"/>
        </w:rPr>
        <w:t>说明</w:t>
      </w:r>
    </w:p>
    <w:p>
      <w:pPr>
        <w:spacing w:line="550" w:lineRule="exact"/>
        <w:ind w:firstLine="640" w:firstLineChars="200"/>
        <w:rPr>
          <w:rFonts w:ascii="方正黑体_GBK" w:eastAsia="方正黑体_GBK"/>
          <w:szCs w:val="32"/>
        </w:rPr>
      </w:pPr>
      <w:r>
        <w:rPr>
          <w:rFonts w:hint="eastAsia" w:ascii="方正黑体_GBK" w:eastAsia="方正黑体_GBK"/>
          <w:szCs w:val="32"/>
        </w:rPr>
        <w:t>本部门本年度支</w:t>
      </w:r>
      <w:r>
        <w:rPr>
          <w:rFonts w:ascii="方正黑体_GBK" w:eastAsia="方正黑体_GBK"/>
          <w:szCs w:val="32"/>
        </w:rPr>
        <w:t>出预算合计</w:t>
      </w:r>
      <w:r>
        <w:rPr>
          <w:rFonts w:hint="eastAsia" w:ascii="方正黑体_GBK" w:eastAsia="方正黑体_GBK"/>
          <w:szCs w:val="32"/>
        </w:rPr>
        <w:t>73.67万元</w:t>
      </w:r>
      <w:r>
        <w:rPr>
          <w:rFonts w:ascii="方正黑体_GBK" w:eastAsia="方正黑体_GBK"/>
          <w:szCs w:val="32"/>
        </w:rPr>
        <w:t>，其中：基本支出</w:t>
      </w:r>
      <w:r>
        <w:rPr>
          <w:rFonts w:hint="eastAsia" w:ascii="方正黑体_GBK" w:eastAsia="方正黑体_GBK"/>
          <w:szCs w:val="32"/>
        </w:rPr>
        <w:t>73.67</w:t>
      </w:r>
      <w:r>
        <w:rPr>
          <w:rFonts w:ascii="方正黑体_GBK" w:eastAsia="方正黑体_GBK"/>
          <w:szCs w:val="32"/>
        </w:rPr>
        <w:t>万元，占</w:t>
      </w:r>
      <w:r>
        <w:rPr>
          <w:rFonts w:hint="eastAsia" w:ascii="方正黑体_GBK" w:eastAsia="方正黑体_GBK"/>
          <w:szCs w:val="32"/>
        </w:rPr>
        <w:t>100</w:t>
      </w:r>
      <w:r>
        <w:rPr>
          <w:rFonts w:ascii="方正黑体_GBK" w:eastAsia="方正黑体_GBK"/>
          <w:szCs w:val="32"/>
        </w:rPr>
        <w:t>%；</w:t>
      </w:r>
    </w:p>
    <w:p>
      <w:pPr>
        <w:spacing w:line="550" w:lineRule="exact"/>
        <w:ind w:firstLine="640" w:firstLineChars="200"/>
        <w:rPr>
          <w:rFonts w:ascii="方正黑体_GBK" w:eastAsia="方正黑体_GBK"/>
          <w:szCs w:val="32"/>
        </w:rPr>
      </w:pPr>
      <w:r>
        <w:rPr>
          <w:rFonts w:ascii="方正黑体_GBK" w:eastAsia="方正黑体_GBK"/>
          <w:szCs w:val="32"/>
        </w:rPr>
        <w:t>四、</w:t>
      </w:r>
      <w:r>
        <w:rPr>
          <w:rFonts w:hint="eastAsia" w:ascii="方正黑体_GBK" w:eastAsia="方正黑体_GBK"/>
          <w:szCs w:val="32"/>
        </w:rPr>
        <w:t>财政拨款收支总体情况表</w:t>
      </w:r>
      <w:r>
        <w:rPr>
          <w:rFonts w:ascii="方正黑体_GBK" w:eastAsia="方正黑体_GBK"/>
          <w:szCs w:val="32"/>
        </w:rPr>
        <w:t>说明</w:t>
      </w:r>
    </w:p>
    <w:p>
      <w:pPr>
        <w:spacing w:line="550" w:lineRule="exact"/>
        <w:ind w:firstLine="640" w:firstLineChars="200"/>
        <w:rPr>
          <w:rFonts w:ascii="方正黑体_GBK" w:eastAsia="方正黑体_GBK"/>
          <w:szCs w:val="32"/>
        </w:rPr>
      </w:pPr>
      <w:r>
        <w:rPr>
          <w:rFonts w:hint="eastAsia" w:ascii="方正黑体_GBK" w:eastAsia="方正黑体_GBK"/>
          <w:szCs w:val="32"/>
        </w:rPr>
        <w:t>本部门本年度</w:t>
      </w:r>
      <w:r>
        <w:rPr>
          <w:rFonts w:ascii="方正黑体_GBK" w:eastAsia="方正黑体_GBK"/>
          <w:szCs w:val="32"/>
        </w:rPr>
        <w:t>财政拨款收</w:t>
      </w:r>
      <w:r>
        <w:rPr>
          <w:rFonts w:hint="eastAsia" w:ascii="方正黑体_GBK" w:eastAsia="方正黑体_GBK"/>
          <w:szCs w:val="32"/>
        </w:rPr>
        <w:t>入</w:t>
      </w:r>
      <w:r>
        <w:rPr>
          <w:rFonts w:ascii="方正黑体_GBK" w:eastAsia="方正黑体_GBK"/>
          <w:szCs w:val="32"/>
        </w:rPr>
        <w:t>总预算</w:t>
      </w:r>
      <w:r>
        <w:rPr>
          <w:rFonts w:hint="eastAsia" w:ascii="方正黑体_GBK" w:eastAsia="方正黑体_GBK"/>
          <w:szCs w:val="32"/>
        </w:rPr>
        <w:t>73.67</w:t>
      </w:r>
      <w:r>
        <w:rPr>
          <w:rFonts w:ascii="方正黑体_GBK" w:eastAsia="方正黑体_GBK"/>
          <w:szCs w:val="32"/>
        </w:rPr>
        <w:t>万元、</w:t>
      </w:r>
      <w:r>
        <w:rPr>
          <w:rFonts w:hint="eastAsia" w:ascii="方正黑体_GBK" w:eastAsia="方正黑体_GBK"/>
          <w:szCs w:val="32"/>
        </w:rPr>
        <w:t>支出</w:t>
      </w:r>
      <w:r>
        <w:rPr>
          <w:rFonts w:ascii="方正黑体_GBK" w:eastAsia="方正黑体_GBK"/>
          <w:szCs w:val="32"/>
        </w:rPr>
        <w:t>总预算</w:t>
      </w:r>
      <w:r>
        <w:rPr>
          <w:rFonts w:hint="eastAsia" w:ascii="方正黑体_GBK" w:eastAsia="方正黑体_GBK"/>
          <w:szCs w:val="32"/>
        </w:rPr>
        <w:t>73.67</w:t>
      </w:r>
      <w:r>
        <w:rPr>
          <w:rFonts w:ascii="方正黑体_GBK" w:eastAsia="方正黑体_GBK"/>
          <w:szCs w:val="32"/>
        </w:rPr>
        <w:t>万元。与上年相比收、支预算总计各</w:t>
      </w:r>
      <w:r>
        <w:rPr>
          <w:rFonts w:hint="eastAsia" w:ascii="方正黑体_GBK" w:eastAsia="方正黑体_GBK"/>
          <w:szCs w:val="32"/>
        </w:rPr>
        <w:t>减少8.75</w:t>
      </w:r>
      <w:r>
        <w:rPr>
          <w:rFonts w:ascii="方正黑体_GBK" w:eastAsia="方正黑体_GBK"/>
          <w:szCs w:val="32"/>
        </w:rPr>
        <w:t>万元，</w:t>
      </w:r>
      <w:r>
        <w:rPr>
          <w:rFonts w:hint="eastAsia" w:ascii="方正黑体_GBK" w:eastAsia="方正黑体_GBK"/>
          <w:szCs w:val="32"/>
        </w:rPr>
        <w:t>减少10.62</w:t>
      </w:r>
      <w:r>
        <w:rPr>
          <w:rFonts w:ascii="方正黑体_GBK" w:eastAsia="方正黑体_GBK"/>
          <w:szCs w:val="32"/>
        </w:rPr>
        <w:t>%。主要原因是</w:t>
      </w:r>
      <w:r>
        <w:rPr>
          <w:rFonts w:hint="eastAsia" w:ascii="方正黑体_GBK" w:eastAsia="方正黑体_GBK"/>
          <w:szCs w:val="32"/>
        </w:rPr>
        <w:t>人员工资、公用经费和年度减少1人</w:t>
      </w:r>
      <w:r>
        <w:rPr>
          <w:rFonts w:ascii="方正黑体_GBK" w:eastAsia="方正黑体_GBK"/>
          <w:szCs w:val="32"/>
        </w:rPr>
        <w:t>。</w:t>
      </w:r>
    </w:p>
    <w:p>
      <w:pPr>
        <w:spacing w:line="550" w:lineRule="exact"/>
        <w:ind w:firstLine="640" w:firstLineChars="200"/>
        <w:rPr>
          <w:rFonts w:ascii="方正黑体_GBK" w:eastAsia="方正黑体_GBK"/>
          <w:szCs w:val="32"/>
        </w:rPr>
      </w:pPr>
      <w:r>
        <w:rPr>
          <w:rFonts w:hint="eastAsia" w:ascii="方正黑体_GBK" w:eastAsia="方正黑体_GBK"/>
          <w:szCs w:val="32"/>
        </w:rPr>
        <w:t>五、一般公共预算支出情况表说明</w:t>
      </w:r>
    </w:p>
    <w:p>
      <w:pPr>
        <w:spacing w:line="550" w:lineRule="exact"/>
        <w:ind w:firstLine="640" w:firstLineChars="200"/>
        <w:rPr>
          <w:rFonts w:ascii="方正黑体_GBK" w:eastAsia="方正黑体_GBK"/>
          <w:szCs w:val="32"/>
        </w:rPr>
      </w:pPr>
      <w:r>
        <w:rPr>
          <w:rFonts w:hint="eastAsia" w:ascii="方正黑体_GBK" w:eastAsia="方正黑体_GBK"/>
          <w:szCs w:val="32"/>
        </w:rPr>
        <w:t>本部门本年度一般公共预算财政拨款支出预算73.67万元，与上年相比减少8.75万元，减少10.62%。主要原因是人员年度调出1人以及工作经费预算减少。</w:t>
      </w:r>
    </w:p>
    <w:p>
      <w:pPr>
        <w:spacing w:line="550" w:lineRule="exact"/>
        <w:ind w:firstLine="640" w:firstLineChars="200"/>
        <w:rPr>
          <w:rFonts w:ascii="方正黑体_GBK" w:eastAsia="方正黑体_GBK"/>
          <w:szCs w:val="32"/>
        </w:rPr>
      </w:pPr>
      <w:r>
        <w:rPr>
          <w:rFonts w:hint="eastAsia" w:ascii="方正黑体_GBK" w:eastAsia="方正黑体_GBK"/>
          <w:szCs w:val="32"/>
        </w:rPr>
        <w:t>六、一般公共预算基本支出情况表说明</w:t>
      </w:r>
    </w:p>
    <w:p>
      <w:pPr>
        <w:spacing w:line="550" w:lineRule="exact"/>
        <w:ind w:firstLine="640" w:firstLineChars="200"/>
        <w:rPr>
          <w:rFonts w:ascii="方正黑体_GBK" w:eastAsia="方正黑体_GBK"/>
          <w:szCs w:val="32"/>
        </w:rPr>
      </w:pPr>
      <w:r>
        <w:rPr>
          <w:rFonts w:hint="eastAsia" w:ascii="方正黑体_GBK" w:eastAsia="方正黑体_GBK"/>
          <w:szCs w:val="32"/>
        </w:rPr>
        <w:t>本部门本年度一般公共预算财政拨款基本支出预算73.67万元，其中：</w:t>
      </w:r>
    </w:p>
    <w:p>
      <w:pPr>
        <w:spacing w:line="550" w:lineRule="exact"/>
        <w:ind w:firstLine="640" w:firstLineChars="200"/>
        <w:rPr>
          <w:rFonts w:ascii="方正黑体_GBK" w:eastAsia="方正黑体_GBK"/>
          <w:szCs w:val="32"/>
        </w:rPr>
      </w:pPr>
      <w:r>
        <w:rPr>
          <w:rFonts w:hint="eastAsia" w:ascii="方正黑体_GBK" w:eastAsia="方正黑体_GBK"/>
          <w:szCs w:val="32"/>
        </w:rPr>
        <w:t>（一）人员经费65.35万元。主要包括：基本工资、津贴补贴、奖金、社会保障缴费、绩效工资、其他工资福利支出、住房公积金。</w:t>
      </w:r>
    </w:p>
    <w:p>
      <w:pPr>
        <w:spacing w:line="550" w:lineRule="exact"/>
        <w:ind w:firstLine="640" w:firstLineChars="200"/>
        <w:rPr>
          <w:rFonts w:ascii="方正黑体_GBK" w:eastAsia="方正黑体_GBK"/>
          <w:szCs w:val="32"/>
        </w:rPr>
      </w:pPr>
      <w:r>
        <w:rPr>
          <w:rFonts w:hint="eastAsia" w:ascii="方正黑体_GBK" w:eastAsia="方正黑体_GBK"/>
          <w:szCs w:val="32"/>
        </w:rPr>
        <w:t>（二）公用经费8.32万元。主要包括：办公费、印刷费、水费、电费、邮电费、取暖费、差旅费、工会经费、其他交通费用、其他商品和服务支出。</w:t>
      </w:r>
    </w:p>
    <w:p>
      <w:pPr>
        <w:spacing w:line="550" w:lineRule="exact"/>
        <w:ind w:firstLine="640" w:firstLineChars="200"/>
        <w:rPr>
          <w:rFonts w:ascii="方正黑体_GBK" w:eastAsia="方正黑体_GBK"/>
          <w:szCs w:val="32"/>
        </w:rPr>
      </w:pPr>
      <w:r>
        <w:rPr>
          <w:rFonts w:hint="eastAsia" w:ascii="方正黑体_GBK" w:eastAsia="方正黑体_GBK"/>
          <w:szCs w:val="32"/>
        </w:rPr>
        <w:t>七、一般公共预算“三公”经费支出情况表说明</w:t>
      </w:r>
    </w:p>
    <w:p>
      <w:pPr>
        <w:spacing w:line="550" w:lineRule="exact"/>
        <w:ind w:firstLine="640" w:firstLineChars="200"/>
        <w:rPr>
          <w:rFonts w:ascii="方正黑体_GBK" w:eastAsia="方正黑体_GBK"/>
          <w:szCs w:val="32"/>
        </w:rPr>
      </w:pPr>
      <w:r>
        <w:rPr>
          <w:rFonts w:hint="eastAsia" w:ascii="方正黑体_GBK" w:eastAsia="方正黑体_GBK"/>
          <w:szCs w:val="32"/>
        </w:rPr>
        <w:t>本部门本年度一般公共预算拨款安排的“三公”经费预算支出中，无因公出国（境）费支出；无公务用车购置及运行费支出；无公务接待费支出。</w:t>
      </w:r>
    </w:p>
    <w:p>
      <w:pPr>
        <w:spacing w:line="550" w:lineRule="exact"/>
        <w:ind w:firstLine="640" w:firstLineChars="200"/>
        <w:rPr>
          <w:rFonts w:hint="eastAsia" w:ascii="方正黑体_GBK" w:eastAsia="方正黑体_GBK"/>
          <w:szCs w:val="32"/>
        </w:rPr>
      </w:pPr>
      <w:r>
        <w:rPr>
          <w:rFonts w:hint="eastAsia" w:ascii="方正黑体_GBK" w:eastAsia="方正黑体_GBK"/>
          <w:szCs w:val="32"/>
        </w:rPr>
        <w:t>八、政府性基金预算支出预算情况说明</w:t>
      </w:r>
    </w:p>
    <w:p>
      <w:pPr>
        <w:spacing w:line="550" w:lineRule="exact"/>
        <w:ind w:firstLine="640" w:firstLineChars="200"/>
        <w:rPr>
          <w:rFonts w:ascii="方正黑体_GBK" w:eastAsia="方正黑体_GBK"/>
          <w:szCs w:val="32"/>
        </w:rPr>
      </w:pPr>
      <w:r>
        <w:rPr>
          <w:rFonts w:hint="eastAsia" w:ascii="方正黑体_GBK" w:eastAsia="方正黑体_GBK"/>
          <w:szCs w:val="32"/>
        </w:rPr>
        <w:t>本部门本年度无政府性基金预算支出。</w:t>
      </w:r>
    </w:p>
    <w:p>
      <w:pPr>
        <w:spacing w:line="550" w:lineRule="exact"/>
        <w:ind w:firstLine="640" w:firstLineChars="200"/>
        <w:rPr>
          <w:rFonts w:ascii="方正黑体_GBK" w:eastAsia="方正黑体_GBK"/>
          <w:szCs w:val="32"/>
        </w:rPr>
      </w:pPr>
      <w:r>
        <w:rPr>
          <w:rFonts w:hint="eastAsia" w:ascii="方正黑体_GBK" w:eastAsia="方正黑体_GBK"/>
          <w:szCs w:val="32"/>
        </w:rPr>
        <w:t>九、一般公共预算机关运行经费支出预算情况说明</w:t>
      </w:r>
    </w:p>
    <w:p>
      <w:pPr>
        <w:spacing w:line="550" w:lineRule="exact"/>
        <w:ind w:firstLine="640" w:firstLineChars="200"/>
        <w:rPr>
          <w:rFonts w:ascii="方正黑体_GBK" w:eastAsia="方正黑体_GBK"/>
          <w:szCs w:val="32"/>
        </w:rPr>
      </w:pPr>
      <w:r>
        <w:rPr>
          <w:rFonts w:hint="eastAsia" w:ascii="方正黑体_GBK" w:eastAsia="方正黑体_GBK"/>
          <w:szCs w:val="32"/>
        </w:rPr>
        <w:t>黎城县地震局2020年一般公共预算机关运行经费预算支出8.32万元，与上年相比减少0.05万元，减少0.6%。主要原因是全县公用经费预算支出标准调增及年度调出1人。</w:t>
      </w:r>
    </w:p>
    <w:p>
      <w:pPr>
        <w:spacing w:line="550" w:lineRule="exact"/>
        <w:ind w:firstLine="640" w:firstLineChars="200"/>
        <w:rPr>
          <w:rFonts w:hint="eastAsia" w:ascii="方正黑体_GBK" w:eastAsia="方正黑体_GBK"/>
          <w:szCs w:val="32"/>
        </w:rPr>
      </w:pPr>
      <w:r>
        <w:rPr>
          <w:rFonts w:hint="eastAsia" w:ascii="方正黑体_GBK" w:eastAsia="方正黑体_GBK"/>
          <w:szCs w:val="32"/>
        </w:rPr>
        <w:t>十、政府采购支出预算说明</w:t>
      </w:r>
    </w:p>
    <w:p>
      <w:pPr>
        <w:spacing w:line="550" w:lineRule="exact"/>
        <w:ind w:firstLine="640" w:firstLineChars="200"/>
        <w:rPr>
          <w:rFonts w:ascii="方正黑体_GBK" w:eastAsia="方正黑体_GBK"/>
          <w:szCs w:val="32"/>
        </w:rPr>
      </w:pPr>
      <w:r>
        <w:rPr>
          <w:rFonts w:hint="eastAsia" w:ascii="方正黑体_GBK" w:eastAsia="方正黑体_GBK"/>
          <w:szCs w:val="32"/>
        </w:rPr>
        <w:t>本部门本年度无政府采购支出预算。</w:t>
      </w:r>
    </w:p>
    <w:p>
      <w:pPr>
        <w:numPr>
          <w:ilvl w:val="0"/>
          <w:numId w:val="2"/>
        </w:numPr>
        <w:spacing w:line="550" w:lineRule="exact"/>
        <w:ind w:firstLine="640" w:firstLineChars="200"/>
        <w:rPr>
          <w:rFonts w:ascii="方正黑体_GBK" w:eastAsia="方正黑体_GBK"/>
          <w:szCs w:val="32"/>
        </w:rPr>
      </w:pPr>
      <w:r>
        <w:rPr>
          <w:rFonts w:hint="eastAsia" w:ascii="方正黑体_GBK" w:eastAsia="方正黑体_GBK"/>
          <w:szCs w:val="32"/>
        </w:rPr>
        <w:t>国有资产占用情况</w:t>
      </w:r>
    </w:p>
    <w:p>
      <w:pPr>
        <w:spacing w:line="550" w:lineRule="exact"/>
        <w:ind w:firstLine="640" w:firstLineChars="200"/>
        <w:rPr>
          <w:rFonts w:ascii="方正黑体_GBK" w:eastAsia="方正黑体_GBK"/>
          <w:szCs w:val="32"/>
        </w:rPr>
      </w:pPr>
      <w:r>
        <w:rPr>
          <w:rFonts w:hint="eastAsia" w:ascii="方正黑体_GBK" w:eastAsia="方正黑体_GBK"/>
          <w:szCs w:val="32"/>
        </w:rPr>
        <w:t>本部门本年度共有资产14.91万元，无流动资产，全部为固定资产，主要包括通用设备11.76万元（其中车辆9.18万元，电脑、打印机2.58万元），占总资产的78.87%，专用设备2.5万元（地震检测波2.5万元），占总资产的16.77%，家具类资产0.65万元，占总产的4.36%。</w:t>
      </w:r>
    </w:p>
    <w:p>
      <w:pPr>
        <w:spacing w:line="550" w:lineRule="exact"/>
        <w:ind w:firstLine="640" w:firstLineChars="200"/>
        <w:rPr>
          <w:rFonts w:ascii="方正黑体_GBK" w:eastAsia="方正黑体_GBK"/>
          <w:szCs w:val="32"/>
        </w:rPr>
      </w:pPr>
      <w:r>
        <w:rPr>
          <w:rFonts w:hint="eastAsia" w:ascii="方正黑体_GBK" w:eastAsia="方正黑体_GBK"/>
          <w:szCs w:val="32"/>
        </w:rPr>
        <w:t>1.车辆情况。本部门共有车辆1辆，其中办公用车1辆，属已报废待处置资产。</w:t>
      </w:r>
    </w:p>
    <w:p>
      <w:pPr>
        <w:spacing w:line="550" w:lineRule="exact"/>
        <w:ind w:firstLine="640" w:firstLineChars="200"/>
        <w:rPr>
          <w:rFonts w:ascii="方正黑体_GBK" w:eastAsia="方正黑体_GBK"/>
          <w:szCs w:val="32"/>
        </w:rPr>
      </w:pPr>
      <w:r>
        <w:rPr>
          <w:rFonts w:hint="eastAsia" w:ascii="方正黑体_GBK" w:eastAsia="方正黑体_GBK"/>
          <w:szCs w:val="32"/>
        </w:rPr>
        <w:t>2.土地房屋情况。本部门占用办公用房5间，面积72平方米，由县机关事务管理中心统一管理，资产未登记我单位。</w:t>
      </w:r>
    </w:p>
    <w:p>
      <w:pPr>
        <w:spacing w:line="550" w:lineRule="exact"/>
        <w:ind w:firstLine="640" w:firstLineChars="200"/>
        <w:rPr>
          <w:rFonts w:ascii="方正黑体_GBK" w:eastAsia="方正黑体_GBK"/>
          <w:szCs w:val="32"/>
        </w:rPr>
      </w:pPr>
      <w:r>
        <w:rPr>
          <w:rFonts w:hint="eastAsia" w:ascii="方正黑体_GBK" w:eastAsia="方正黑体_GBK"/>
          <w:szCs w:val="32"/>
        </w:rPr>
        <w:t>3.其他国有资产占有使用情况。其他国有资产主要包括单位办公使用的电脑、办公桌椅等，没有50万元以上的通用设备和100万元以上的专用设备。</w:t>
      </w:r>
    </w:p>
    <w:p>
      <w:pPr>
        <w:spacing w:line="550" w:lineRule="exact"/>
        <w:ind w:firstLine="640" w:firstLineChars="200"/>
        <w:rPr>
          <w:rFonts w:ascii="方正黑体_GBK" w:eastAsia="方正黑体_GBK"/>
          <w:szCs w:val="32"/>
        </w:rPr>
      </w:pPr>
      <w:r>
        <w:rPr>
          <w:rFonts w:hint="eastAsia" w:ascii="方正黑体_GBK" w:eastAsia="方正黑体_GBK"/>
          <w:szCs w:val="32"/>
        </w:rPr>
        <w:t>十二、本部门本年度无预算绩效目标设置。、</w:t>
      </w:r>
    </w:p>
    <w:p>
      <w:pPr>
        <w:spacing w:line="550" w:lineRule="exact"/>
        <w:ind w:firstLine="640" w:firstLineChars="200"/>
        <w:rPr>
          <w:rFonts w:ascii="方正黑体_GBK" w:eastAsia="方正黑体_GBK"/>
          <w:szCs w:val="32"/>
        </w:rPr>
      </w:pPr>
    </w:p>
    <w:p>
      <w:pPr>
        <w:spacing w:line="550" w:lineRule="exact"/>
        <w:ind w:firstLine="640" w:firstLineChars="200"/>
        <w:rPr>
          <w:rFonts w:ascii="方正黑体_GBK" w:eastAsia="方正黑体_GBK"/>
          <w:szCs w:val="32"/>
        </w:rPr>
      </w:pPr>
    </w:p>
    <w:p>
      <w:pPr>
        <w:spacing w:line="550" w:lineRule="exact"/>
        <w:ind w:firstLine="0"/>
        <w:rPr>
          <w:rFonts w:ascii="宋体" w:hAnsi="宋体" w:eastAsia="宋体" w:cs="华文仿宋"/>
          <w:szCs w:val="32"/>
        </w:rPr>
      </w:pPr>
    </w:p>
    <w:p>
      <w:pPr>
        <w:spacing w:line="550" w:lineRule="exact"/>
        <w:ind w:firstLine="640" w:firstLineChars="200"/>
        <w:jc w:val="center"/>
        <w:rPr>
          <w:rFonts w:ascii="方正黑体_GBK" w:eastAsia="方正黑体_GBK"/>
          <w:szCs w:val="32"/>
        </w:rPr>
      </w:pPr>
      <w:r>
        <w:rPr>
          <w:rFonts w:hint="eastAsia" w:ascii="方正黑体_GBK" w:eastAsia="方正黑体_GBK"/>
          <w:szCs w:val="32"/>
        </w:rPr>
        <w:t>第四部分　名词解释</w:t>
      </w:r>
    </w:p>
    <w:p>
      <w:pPr>
        <w:spacing w:line="550" w:lineRule="exact"/>
        <w:ind w:firstLine="640" w:firstLineChars="200"/>
        <w:rPr>
          <w:rFonts w:ascii="方正黑体_GBK" w:eastAsia="方正黑体_GBK"/>
          <w:szCs w:val="32"/>
        </w:rPr>
      </w:pPr>
      <w:r>
        <w:rPr>
          <w:rFonts w:hint="eastAsia" w:ascii="方正黑体_GBK" w:eastAsia="方正黑体_GBK"/>
          <w:szCs w:val="32"/>
        </w:rPr>
        <w:t>一、财政拨款：指一般公共预算财政拨款和政府性基金预算财政拨款。</w:t>
      </w:r>
    </w:p>
    <w:p>
      <w:pPr>
        <w:spacing w:line="550" w:lineRule="exact"/>
        <w:ind w:firstLine="640" w:firstLineChars="200"/>
        <w:rPr>
          <w:rFonts w:ascii="方正黑体_GBK" w:eastAsia="方正黑体_GBK"/>
          <w:szCs w:val="32"/>
        </w:rPr>
      </w:pPr>
      <w:r>
        <w:rPr>
          <w:rFonts w:hint="eastAsia" w:ascii="方正黑体_GBK" w:eastAsia="方正黑体_GBK"/>
          <w:szCs w:val="32"/>
        </w:rPr>
        <w:t>二、一般公共预算：包括公共财政拨款（补助）资金、专项收入。</w:t>
      </w:r>
    </w:p>
    <w:p>
      <w:pPr>
        <w:spacing w:line="550" w:lineRule="exact"/>
        <w:ind w:firstLine="640" w:firstLineChars="200"/>
        <w:rPr>
          <w:rFonts w:ascii="方正黑体_GBK" w:eastAsia="方正黑体_GBK"/>
          <w:szCs w:val="32"/>
        </w:rPr>
      </w:pPr>
      <w:r>
        <w:rPr>
          <w:rFonts w:hint="eastAsia" w:ascii="方正黑体_GBK" w:eastAsia="方正黑体_GBK"/>
          <w:szCs w:val="32"/>
        </w:rPr>
        <w:t>三、财政专户管理资金：包括专户管理行政事业性收费（主要是教育收费）、其他非税收入。</w:t>
      </w:r>
    </w:p>
    <w:p>
      <w:pPr>
        <w:spacing w:line="550" w:lineRule="exact"/>
        <w:ind w:firstLine="640" w:firstLineChars="200"/>
        <w:rPr>
          <w:rFonts w:ascii="方正黑体_GBK" w:eastAsia="方正黑体_GBK"/>
          <w:szCs w:val="32"/>
        </w:rPr>
      </w:pPr>
      <w:r>
        <w:rPr>
          <w:rFonts w:hint="eastAsia" w:ascii="方正黑体_GBK" w:eastAsia="方正黑体_GBK"/>
          <w:szCs w:val="32"/>
        </w:rPr>
        <w:t>四、其他资金：包括事业收入、经营收入、其他收入等。</w:t>
      </w:r>
    </w:p>
    <w:p>
      <w:pPr>
        <w:spacing w:line="550" w:lineRule="exact"/>
        <w:ind w:firstLine="640" w:firstLineChars="200"/>
        <w:rPr>
          <w:rFonts w:ascii="方正黑体_GBK" w:eastAsia="方正黑体_GBK"/>
          <w:szCs w:val="32"/>
        </w:rPr>
      </w:pPr>
      <w:r>
        <w:rPr>
          <w:rFonts w:hint="eastAsia" w:ascii="方正黑体_GBK" w:eastAsia="方正黑体_GBK"/>
          <w:szCs w:val="32"/>
        </w:rPr>
        <w:t>五、基本支出：指为保障机构正常运转、完成工作任务而发生的人员支出和公用支出。</w:t>
      </w:r>
    </w:p>
    <w:p>
      <w:pPr>
        <w:spacing w:line="550" w:lineRule="exact"/>
        <w:ind w:firstLine="640" w:firstLineChars="200"/>
        <w:rPr>
          <w:rFonts w:ascii="方正黑体_GBK" w:eastAsia="方正黑体_GBK"/>
          <w:szCs w:val="32"/>
        </w:rPr>
      </w:pPr>
      <w:r>
        <w:rPr>
          <w:rFonts w:hint="eastAsia" w:ascii="方正黑体_GBK" w:eastAsia="方正黑体_GBK"/>
          <w:szCs w:val="32"/>
        </w:rPr>
        <w:t>六、项目支出：指在基本支出之外为完成特定工作任务和事业发展目标所发生的支出。</w:t>
      </w:r>
    </w:p>
    <w:p>
      <w:pPr>
        <w:spacing w:line="550" w:lineRule="exact"/>
        <w:ind w:firstLine="640" w:firstLineChars="200"/>
        <w:rPr>
          <w:rFonts w:ascii="方正黑体_GBK" w:eastAsia="方正黑体_GBK"/>
          <w:szCs w:val="32"/>
        </w:rPr>
      </w:pPr>
      <w:r>
        <w:rPr>
          <w:rFonts w:hint="eastAsia" w:ascii="方正黑体_GBK" w:eastAsia="方正黑体_GBK"/>
          <w:szCs w:val="32"/>
        </w:rPr>
        <w:t>七、单位预留机动经费：指预算单位年初预留用于年度执行中增人、增资等不可预见支出的经费。</w:t>
      </w:r>
    </w:p>
    <w:p>
      <w:pPr>
        <w:spacing w:line="550" w:lineRule="exact"/>
        <w:ind w:firstLine="640" w:firstLineChars="200"/>
        <w:rPr>
          <w:rFonts w:ascii="方正黑体_GBK" w:eastAsia="方正黑体_GBK"/>
          <w:szCs w:val="32"/>
        </w:rPr>
      </w:pPr>
      <w:r>
        <w:rPr>
          <w:rFonts w:hint="eastAsia" w:ascii="方正黑体_GBK" w:eastAsia="方正黑体_GBK"/>
          <w:szCs w:val="32"/>
        </w:rPr>
        <w:t>八、“三公”经费：指部门用一般公共预算财政拨款安排的因公出国（境）费、公务用车购置及运行费和公务接待费。其中，因公出国（境）费反映单位公务出国（境）的住宿费、旅费、伙食补助费、杂费、培训费等支出；公务用车购置及运行费反映单位公务用车购置费、燃料费、维修费、过路过桥费、保险费、安全奖励费用等支出；公务接待费反映单位按规定开支的各类公务接待（含外宾接待）支出。</w:t>
      </w:r>
    </w:p>
    <w:p>
      <w:pPr>
        <w:spacing w:line="550" w:lineRule="exact"/>
        <w:ind w:firstLine="640" w:firstLineChars="200"/>
        <w:rPr>
          <w:rFonts w:ascii="方正黑体_GBK" w:eastAsia="方正黑体_GBK"/>
          <w:szCs w:val="32"/>
        </w:rPr>
      </w:pPr>
      <w:r>
        <w:rPr>
          <w:rFonts w:hint="eastAsia" w:ascii="方正黑体_GBK" w:eastAsia="方正黑体_GBK"/>
          <w:szCs w:val="32"/>
        </w:rPr>
        <w:t>九、机关运行经费：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w:t>
      </w:r>
    </w:p>
    <w:p>
      <w:pPr>
        <w:spacing w:line="550" w:lineRule="exact"/>
        <w:ind w:firstLine="640" w:firstLineChars="200"/>
        <w:rPr>
          <w:rFonts w:ascii="方正黑体_GBK" w:eastAsia="方正黑体_GBK"/>
          <w:szCs w:val="32"/>
        </w:rPr>
      </w:pPr>
    </w:p>
    <w:p>
      <w:pPr>
        <w:spacing w:line="550" w:lineRule="exact"/>
        <w:ind w:firstLine="640" w:firstLineChars="200"/>
        <w:rPr>
          <w:rFonts w:ascii="方正黑体_GBK" w:eastAsia="方正黑体_GBK"/>
          <w:szCs w:val="32"/>
        </w:rPr>
      </w:pPr>
    </w:p>
    <w:p>
      <w:pPr>
        <w:spacing w:line="550" w:lineRule="exact"/>
        <w:ind w:firstLine="640" w:firstLineChars="200"/>
        <w:rPr>
          <w:rFonts w:ascii="方正黑体_GBK" w:eastAsia="方正黑体_GBK"/>
          <w:szCs w:val="32"/>
        </w:rPr>
      </w:pPr>
    </w:p>
    <w:p>
      <w:pPr>
        <w:spacing w:line="550" w:lineRule="exact"/>
        <w:ind w:firstLine="640" w:firstLineChars="200"/>
        <w:rPr>
          <w:rFonts w:ascii="方正黑体_GBK" w:eastAsia="方正黑体_GBK"/>
          <w:szCs w:val="32"/>
        </w:rPr>
      </w:pPr>
    </w:p>
    <w:p>
      <w:pPr>
        <w:spacing w:line="550" w:lineRule="exact"/>
        <w:ind w:firstLine="640" w:firstLineChars="200"/>
        <w:rPr>
          <w:rFonts w:ascii="方正黑体_GBK" w:eastAsia="方正黑体_GBK"/>
          <w:szCs w:val="32"/>
        </w:rPr>
      </w:pPr>
    </w:p>
    <w:p>
      <w:pPr>
        <w:spacing w:line="550" w:lineRule="exact"/>
        <w:ind w:firstLine="5417" w:firstLineChars="1693"/>
        <w:rPr>
          <w:rFonts w:ascii="方正黑体_GBK" w:eastAsia="方正黑体_GBK"/>
          <w:szCs w:val="32"/>
        </w:rPr>
      </w:pPr>
      <w:r>
        <w:rPr>
          <w:rFonts w:hint="eastAsia" w:ascii="方正黑体_GBK" w:eastAsia="方正黑体_GBK"/>
          <w:szCs w:val="32"/>
        </w:rPr>
        <w:t>2020年5月29日</w:t>
      </w:r>
    </w:p>
    <w:sectPr>
      <w:headerReference r:id="rId7" w:type="first"/>
      <w:footerReference r:id="rId10" w:type="first"/>
      <w:headerReference r:id="rId5" w:type="default"/>
      <w:footerReference r:id="rId8" w:type="default"/>
      <w:headerReference r:id="rId6" w:type="even"/>
      <w:footerReference r:id="rId9" w:type="even"/>
      <w:pgSz w:w="11906" w:h="16838"/>
      <w:pgMar w:top="1814" w:right="1588" w:bottom="1985" w:left="1588"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仿宋_GBK">
    <w:altName w:val="Arial Unicode MS"/>
    <w:panose1 w:val="00000000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方正黑体_GBK">
    <w:altName w:val="微软雅黑"/>
    <w:panose1 w:val="00000000000000000000"/>
    <w:charset w:val="86"/>
    <w:family w:val="script"/>
    <w:pitch w:val="default"/>
    <w:sig w:usb0="00000000" w:usb1="00000000" w:usb2="00000010" w:usb3="00000000" w:csb0="00040000"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fldChar w:fldCharType="begin"/>
    </w:r>
    <w:r>
      <w:rPr>
        <w:rStyle w:val="6"/>
      </w:rPr>
      <w:instrText xml:space="preserve">PAGE  </w:instrText>
    </w:r>
    <w:r>
      <w:fldChar w:fldCharType="separate"/>
    </w:r>
    <w:r>
      <w:rPr>
        <w:rStyle w:val="6"/>
      </w:rPr>
      <w:t>6</w:t>
    </w:r>
    <w:r>
      <w:fldChar w:fldCharType="end"/>
    </w:r>
  </w:p>
  <w:p>
    <w:pPr>
      <w:pStyle w:val="2"/>
      <w:framePr w:wrap="around" w:vAnchor="text" w:hAnchor="margin" w:xAlign="right" w:y="1"/>
      <w:rPr>
        <w:rStyle w:val="6"/>
      </w:rPr>
    </w:pPr>
  </w:p>
  <w:p>
    <w:pPr>
      <w:pStyle w:val="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8427ABA"/>
    <w:multiLevelType w:val="singleLevel"/>
    <w:tmpl w:val="28427ABA"/>
    <w:lvl w:ilvl="0" w:tentative="0">
      <w:start w:val="3"/>
      <w:numFmt w:val="chineseCounting"/>
      <w:suff w:val="nothing"/>
      <w:lvlText w:val="%1、"/>
      <w:lvlJc w:val="left"/>
      <w:rPr>
        <w:rFonts w:hint="eastAsia"/>
      </w:rPr>
    </w:lvl>
  </w:abstractNum>
  <w:abstractNum w:abstractNumId="1">
    <w:nsid w:val="50A23286"/>
    <w:multiLevelType w:val="singleLevel"/>
    <w:tmpl w:val="50A23286"/>
    <w:lvl w:ilvl="0" w:tentative="0">
      <w:start w:val="1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2BCD54A5"/>
    <w:rsid w:val="000102F4"/>
    <w:rsid w:val="005950C4"/>
    <w:rsid w:val="00C244C3"/>
    <w:rsid w:val="00D674C7"/>
    <w:rsid w:val="00DF0360"/>
    <w:rsid w:val="00F73EE3"/>
    <w:rsid w:val="16F77B1B"/>
    <w:rsid w:val="23EF7695"/>
    <w:rsid w:val="2BCD54A5"/>
    <w:rsid w:val="34831BFC"/>
    <w:rsid w:val="360E7D0A"/>
    <w:rsid w:val="3E163FD2"/>
    <w:rsid w:val="406B3334"/>
    <w:rsid w:val="42C24AF1"/>
    <w:rsid w:val="48CC22DB"/>
    <w:rsid w:val="4A7754A5"/>
    <w:rsid w:val="668E2BAA"/>
    <w:rsid w:val="764D1CB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snapToGrid w:val="0"/>
      <w:spacing w:line="590" w:lineRule="atLeast"/>
      <w:ind w:firstLine="624"/>
      <w:jc w:val="both"/>
    </w:pPr>
    <w:rPr>
      <w:rFonts w:ascii="Times New Roman" w:hAnsi="Times New Roman" w:eastAsia="方正仿宋_GBK" w:cs="Times New Roman"/>
      <w:sz w:val="3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autoSpaceDE/>
      <w:autoSpaceDN/>
      <w:spacing w:line="240" w:lineRule="auto"/>
      <w:ind w:firstLine="0"/>
      <w:jc w:val="left"/>
    </w:pPr>
    <w:rPr>
      <w:rFonts w:eastAsia="宋体"/>
      <w:kern w:val="2"/>
      <w:sz w:val="18"/>
      <w:szCs w:val="18"/>
    </w:rPr>
  </w:style>
  <w:style w:type="paragraph" w:styleId="3">
    <w:name w:val="header"/>
    <w:basedOn w:val="1"/>
    <w:link w:val="7"/>
    <w:uiPriority w:val="0"/>
    <w:pPr>
      <w:pBdr>
        <w:bottom w:val="single" w:color="auto" w:sz="6" w:space="1"/>
      </w:pBdr>
      <w:tabs>
        <w:tab w:val="center" w:pos="4153"/>
        <w:tab w:val="right" w:pos="8306"/>
      </w:tabs>
      <w:spacing w:line="240" w:lineRule="atLeast"/>
      <w:jc w:val="center"/>
    </w:pPr>
    <w:rPr>
      <w:sz w:val="18"/>
      <w:szCs w:val="18"/>
    </w:rPr>
  </w:style>
  <w:style w:type="character" w:styleId="6">
    <w:name w:val="page number"/>
    <w:basedOn w:val="5"/>
    <w:qFormat/>
    <w:uiPriority w:val="0"/>
  </w:style>
  <w:style w:type="character" w:customStyle="1" w:styleId="7">
    <w:name w:val="页眉 Char"/>
    <w:basedOn w:val="5"/>
    <w:link w:val="3"/>
    <w:uiPriority w:val="0"/>
    <w:rPr>
      <w:rFonts w:ascii="Times New Roman" w:hAnsi="Times New Roman" w:eastAsia="方正仿宋_GBK"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1</Company>
  <Pages>9</Pages>
  <Words>429</Words>
  <Characters>2449</Characters>
  <Lines>20</Lines>
  <Paragraphs>5</Paragraphs>
  <TotalTime>7</TotalTime>
  <ScaleCrop>false</ScaleCrop>
  <LinksUpToDate>false</LinksUpToDate>
  <CharactersWithSpaces>2873</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2021-06-01T07:55:00Z</dcterms:created>
  <dc:creator>阳春&amp;白雪</dc:creator>
  <cp:lastModifiedBy>雪莉</cp:lastModifiedBy>
  <dcterms:modified xsi:type="dcterms:W3CDTF">2020-06-01T09:27:27Z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99D8EB98307245E0B883AFABE0A38AEB</vt:lpwstr>
  </property>
</Properties>
</file>