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6"/>
          <w:rFonts w:hint="eastAsia" w:asciiTheme="majorEastAsia" w:hAnsiTheme="majorEastAsia" w:eastAsiaTheme="majorEastAsia"/>
          <w:b/>
          <w:sz w:val="44"/>
          <w:szCs w:val="44"/>
        </w:rPr>
      </w:pPr>
      <w:bookmarkStart w:id="0" w:name="_GoBack"/>
      <w:bookmarkEnd w:id="0"/>
      <w:r>
        <w:rPr>
          <w:rStyle w:val="6"/>
          <w:rFonts w:hint="eastAsia" w:asciiTheme="majorEastAsia" w:hAnsiTheme="majorEastAsia" w:eastAsiaTheme="majorEastAsia"/>
          <w:b/>
          <w:sz w:val="44"/>
          <w:szCs w:val="44"/>
        </w:rPr>
        <w:t>黎城县冶金产业局2020年度</w:t>
      </w:r>
    </w:p>
    <w:p>
      <w:pPr>
        <w:ind w:firstLine="0"/>
        <w:jc w:val="center"/>
        <w:rPr>
          <w:rStyle w:val="6"/>
          <w:rFonts w:hint="eastAsia" w:asciiTheme="majorEastAsia" w:hAnsiTheme="majorEastAsia" w:eastAsiaTheme="majorEastAsia"/>
          <w:b/>
          <w:sz w:val="44"/>
          <w:szCs w:val="44"/>
        </w:rPr>
      </w:pPr>
      <w:r>
        <w:rPr>
          <w:rStyle w:val="6"/>
          <w:rFonts w:hint="eastAsia" w:asciiTheme="majorEastAsia" w:hAnsiTheme="majorEastAsia" w:eastAsiaTheme="majorEastAsia"/>
          <w:b/>
          <w:sz w:val="44"/>
          <w:szCs w:val="44"/>
        </w:rPr>
        <w:t>部门预算公开说明</w:t>
      </w:r>
    </w:p>
    <w:p>
      <w:pPr>
        <w:ind w:firstLine="0"/>
        <w:jc w:val="center"/>
        <w:rPr>
          <w:rStyle w:val="6"/>
          <w:rFonts w:hint="eastAsia" w:asciiTheme="majorEastAsia" w:hAnsiTheme="majorEastAsia" w:eastAsiaTheme="majorEastAsia"/>
          <w:b/>
          <w:sz w:val="44"/>
          <w:szCs w:val="44"/>
        </w:rPr>
      </w:pPr>
    </w:p>
    <w:p>
      <w:pPr>
        <w:ind w:firstLine="0"/>
        <w:jc w:val="center"/>
        <w:rPr>
          <w:rStyle w:val="6"/>
          <w:rFonts w:hint="eastAsia" w:asciiTheme="majorEastAsia" w:hAnsiTheme="majorEastAsia" w:eastAsiaTheme="majorEastAsia"/>
          <w:b/>
          <w:sz w:val="44"/>
          <w:szCs w:val="44"/>
        </w:rPr>
      </w:pPr>
    </w:p>
    <w:p>
      <w:pPr>
        <w:ind w:firstLine="0"/>
        <w:jc w:val="center"/>
        <w:rPr>
          <w:rStyle w:val="6"/>
          <w:rFonts w:hint="eastAsia" w:asciiTheme="majorEastAsia" w:hAnsiTheme="majorEastAsia" w:eastAsiaTheme="majorEastAsia"/>
          <w:b/>
          <w:sz w:val="44"/>
          <w:szCs w:val="44"/>
          <w:lang w:val="en-US" w:eastAsia="zh-CN"/>
        </w:rPr>
      </w:pPr>
      <w:r>
        <w:rPr>
          <w:rStyle w:val="6"/>
          <w:rFonts w:hint="eastAsia" w:asciiTheme="majorEastAsia" w:hAnsiTheme="majorEastAsia" w:eastAsiaTheme="majorEastAsia"/>
          <w:b/>
          <w:sz w:val="44"/>
          <w:szCs w:val="44"/>
          <w:lang w:val="en-US" w:eastAsia="zh-CN"/>
        </w:rPr>
        <w:t>目 录</w:t>
      </w:r>
    </w:p>
    <w:p>
      <w:pPr>
        <w:numPr>
          <w:ilvl w:val="0"/>
          <w:numId w:val="1"/>
        </w:numPr>
        <w:ind w:firstLine="0"/>
        <w:jc w:val="both"/>
        <w:rPr>
          <w:rStyle w:val="6"/>
          <w:rFonts w:hint="eastAsia" w:ascii="仿宋_GB2312" w:hAnsi="黑体" w:eastAsia="仿宋_GB2312"/>
          <w:b/>
        </w:rPr>
      </w:pPr>
      <w:r>
        <w:rPr>
          <w:rStyle w:val="6"/>
          <w:rFonts w:hint="eastAsia" w:ascii="仿宋_GB2312" w:hAnsi="黑体" w:eastAsia="仿宋_GB2312"/>
          <w:b/>
        </w:rPr>
        <w:t xml:space="preserve"> 部门概况</w:t>
      </w:r>
    </w:p>
    <w:p>
      <w:pPr>
        <w:numPr>
          <w:ilvl w:val="0"/>
          <w:numId w:val="2"/>
        </w:numPr>
        <w:jc w:val="both"/>
        <w:rPr>
          <w:rStyle w:val="6"/>
          <w:rFonts w:hint="eastAsia" w:ascii="仿宋_GB2312" w:hAnsi="黑体" w:eastAsia="仿宋_GB2312"/>
          <w:b/>
          <w:lang w:eastAsia="zh-CN"/>
        </w:rPr>
      </w:pPr>
      <w:r>
        <w:rPr>
          <w:rStyle w:val="6"/>
          <w:rFonts w:hint="eastAsia" w:ascii="仿宋_GB2312" w:hAnsi="黑体" w:eastAsia="仿宋_GB2312"/>
          <w:b/>
          <w:lang w:eastAsia="zh-CN"/>
        </w:rPr>
        <w:t>主要职能</w:t>
      </w:r>
    </w:p>
    <w:p>
      <w:pPr>
        <w:numPr>
          <w:ilvl w:val="0"/>
          <w:numId w:val="2"/>
        </w:numPr>
        <w:jc w:val="both"/>
        <w:rPr>
          <w:rStyle w:val="6"/>
          <w:rFonts w:hint="eastAsia" w:ascii="仿宋_GB2312" w:hAnsi="黑体" w:eastAsia="仿宋_GB2312"/>
          <w:b/>
          <w:lang w:eastAsia="zh-CN"/>
        </w:rPr>
      </w:pPr>
      <w:r>
        <w:rPr>
          <w:rStyle w:val="6"/>
          <w:rFonts w:hint="eastAsia" w:ascii="仿宋_GB2312" w:hAnsi="黑体" w:eastAsia="仿宋_GB2312"/>
          <w:b/>
          <w:lang w:eastAsia="zh-CN"/>
        </w:rPr>
        <w:t>部门机构设置及预算单位构成情况</w:t>
      </w:r>
    </w:p>
    <w:p>
      <w:pPr>
        <w:numPr>
          <w:ilvl w:val="0"/>
          <w:numId w:val="2"/>
        </w:numPr>
        <w:jc w:val="both"/>
        <w:rPr>
          <w:rStyle w:val="6"/>
          <w:rFonts w:hint="eastAsia" w:ascii="仿宋_GB2312" w:hAnsi="黑体" w:eastAsia="仿宋_GB2312"/>
          <w:b/>
          <w:lang w:eastAsia="zh-CN"/>
        </w:rPr>
      </w:pPr>
      <w:r>
        <w:rPr>
          <w:rStyle w:val="6"/>
          <w:rFonts w:hint="eastAsia" w:ascii="仿宋_GB2312" w:hAnsi="黑体" w:eastAsia="仿宋_GB2312"/>
          <w:b/>
          <w:lang w:val="en-US" w:eastAsia="zh-CN"/>
        </w:rPr>
        <w:t>2020年度部门主要工作任务及目标</w:t>
      </w:r>
    </w:p>
    <w:p>
      <w:pPr>
        <w:numPr>
          <w:ilvl w:val="0"/>
          <w:numId w:val="0"/>
        </w:numPr>
        <w:jc w:val="both"/>
        <w:rPr>
          <w:rStyle w:val="6"/>
          <w:rFonts w:hint="eastAsia" w:ascii="仿宋_GB2312" w:hAnsi="黑体" w:eastAsia="仿宋_GB2312"/>
          <w:b/>
          <w:lang w:eastAsia="zh-CN"/>
        </w:rPr>
      </w:pPr>
    </w:p>
    <w:p>
      <w:pPr>
        <w:numPr>
          <w:ilvl w:val="0"/>
          <w:numId w:val="1"/>
        </w:numPr>
        <w:ind w:left="0" w:leftChars="0" w:firstLine="0" w:firstLineChars="0"/>
        <w:jc w:val="both"/>
        <w:rPr>
          <w:rStyle w:val="6"/>
          <w:rFonts w:hint="eastAsia" w:ascii="仿宋_GB2312" w:eastAsia="仿宋_GB2312"/>
          <w:b/>
          <w:szCs w:val="32"/>
        </w:rPr>
      </w:pPr>
      <w:r>
        <w:rPr>
          <w:rStyle w:val="6"/>
          <w:rFonts w:hint="eastAsia" w:ascii="仿宋_GB2312" w:eastAsia="仿宋_GB2312"/>
          <w:b/>
          <w:szCs w:val="32"/>
        </w:rPr>
        <w:t>部门预算表</w:t>
      </w:r>
    </w:p>
    <w:p>
      <w:pPr>
        <w:numPr>
          <w:ilvl w:val="0"/>
          <w:numId w:val="1"/>
        </w:numPr>
        <w:ind w:left="0" w:leftChars="0" w:firstLine="0" w:firstLineChars="0"/>
        <w:jc w:val="both"/>
        <w:rPr>
          <w:rStyle w:val="6"/>
          <w:rFonts w:hint="eastAsia" w:ascii="仿宋_GB2312" w:eastAsia="仿宋_GB2312"/>
          <w:b/>
          <w:szCs w:val="32"/>
          <w:lang w:val="en-US" w:eastAsia="zh-CN"/>
        </w:rPr>
      </w:pPr>
      <w:r>
        <w:rPr>
          <w:rStyle w:val="6"/>
          <w:rFonts w:hint="eastAsia" w:ascii="仿宋_GB2312" w:eastAsia="仿宋_GB2312"/>
          <w:b/>
          <w:szCs w:val="32"/>
          <w:lang w:val="en-US" w:eastAsia="zh-CN"/>
        </w:rPr>
        <w:t>2020年度部门预算情况说明</w:t>
      </w:r>
    </w:p>
    <w:p>
      <w:pPr>
        <w:numPr>
          <w:ilvl w:val="0"/>
          <w:numId w:val="1"/>
        </w:numPr>
        <w:ind w:left="0" w:leftChars="0" w:firstLine="0" w:firstLineChars="0"/>
        <w:jc w:val="both"/>
        <w:rPr>
          <w:rStyle w:val="6"/>
          <w:rFonts w:hint="eastAsia" w:ascii="仿宋_GB2312" w:eastAsia="仿宋_GB2312"/>
          <w:b/>
          <w:szCs w:val="32"/>
          <w:lang w:val="en-US" w:eastAsia="zh-CN"/>
        </w:rPr>
      </w:pPr>
      <w:r>
        <w:rPr>
          <w:rStyle w:val="6"/>
          <w:rFonts w:hint="eastAsia" w:ascii="仿宋_GB2312" w:eastAsia="仿宋_GB2312"/>
          <w:b/>
          <w:szCs w:val="32"/>
          <w:lang w:val="en-US" w:eastAsia="zh-CN"/>
        </w:rPr>
        <w:t>名词解释</w:t>
      </w:r>
    </w:p>
    <w:p>
      <w:pPr>
        <w:numPr>
          <w:ilvl w:val="0"/>
          <w:numId w:val="0"/>
        </w:numPr>
        <w:ind w:leftChars="0"/>
        <w:jc w:val="both"/>
        <w:rPr>
          <w:rStyle w:val="6"/>
          <w:rFonts w:hint="eastAsia" w:ascii="仿宋_GB2312" w:eastAsia="仿宋_GB2312"/>
          <w:b/>
          <w:szCs w:val="32"/>
          <w:lang w:val="en-US" w:eastAsia="zh-CN"/>
        </w:rPr>
      </w:pPr>
    </w:p>
    <w:p>
      <w:pPr>
        <w:numPr>
          <w:ilvl w:val="0"/>
          <w:numId w:val="0"/>
        </w:numPr>
        <w:ind w:leftChars="0"/>
        <w:jc w:val="both"/>
        <w:rPr>
          <w:rStyle w:val="6"/>
          <w:rFonts w:hint="eastAsia" w:ascii="仿宋_GB2312" w:eastAsia="仿宋_GB2312"/>
          <w:b/>
          <w:szCs w:val="32"/>
          <w:lang w:val="en-US" w:eastAsia="zh-CN"/>
        </w:rPr>
      </w:pPr>
    </w:p>
    <w:p>
      <w:pPr>
        <w:numPr>
          <w:ilvl w:val="0"/>
          <w:numId w:val="0"/>
        </w:numPr>
        <w:ind w:leftChars="0"/>
        <w:jc w:val="both"/>
        <w:rPr>
          <w:rStyle w:val="6"/>
          <w:rFonts w:hint="eastAsia" w:ascii="仿宋_GB2312" w:eastAsia="仿宋_GB2312"/>
          <w:b/>
          <w:szCs w:val="32"/>
          <w:lang w:val="en-US" w:eastAsia="zh-CN"/>
        </w:rPr>
      </w:pPr>
    </w:p>
    <w:p>
      <w:pPr>
        <w:numPr>
          <w:ilvl w:val="0"/>
          <w:numId w:val="0"/>
        </w:numPr>
        <w:ind w:leftChars="0"/>
        <w:jc w:val="both"/>
        <w:rPr>
          <w:rStyle w:val="6"/>
          <w:rFonts w:hint="eastAsia" w:ascii="仿宋_GB2312" w:eastAsia="仿宋_GB2312"/>
          <w:b/>
          <w:szCs w:val="32"/>
          <w:lang w:val="en-US" w:eastAsia="zh-CN"/>
        </w:rPr>
      </w:pPr>
    </w:p>
    <w:p>
      <w:pPr>
        <w:numPr>
          <w:ilvl w:val="0"/>
          <w:numId w:val="0"/>
        </w:numPr>
        <w:ind w:leftChars="0"/>
        <w:jc w:val="both"/>
        <w:rPr>
          <w:rStyle w:val="6"/>
          <w:rFonts w:hint="eastAsia" w:ascii="仿宋_GB2312" w:eastAsia="仿宋_GB2312"/>
          <w:b/>
          <w:szCs w:val="32"/>
          <w:lang w:val="en-US" w:eastAsia="zh-CN"/>
        </w:rPr>
      </w:pPr>
    </w:p>
    <w:p>
      <w:pPr>
        <w:numPr>
          <w:ilvl w:val="0"/>
          <w:numId w:val="0"/>
        </w:numPr>
        <w:ind w:leftChars="0"/>
        <w:jc w:val="both"/>
        <w:rPr>
          <w:rStyle w:val="6"/>
          <w:rFonts w:hint="eastAsia" w:ascii="仿宋_GB2312" w:eastAsia="仿宋_GB2312"/>
          <w:b/>
          <w:szCs w:val="32"/>
          <w:lang w:val="en-US" w:eastAsia="zh-CN"/>
        </w:rPr>
      </w:pPr>
    </w:p>
    <w:p>
      <w:pPr>
        <w:numPr>
          <w:ilvl w:val="0"/>
          <w:numId w:val="0"/>
        </w:numPr>
        <w:ind w:leftChars="0"/>
        <w:jc w:val="both"/>
        <w:rPr>
          <w:rStyle w:val="6"/>
          <w:rFonts w:hint="eastAsia" w:ascii="仿宋_GB2312" w:eastAsia="仿宋_GB2312"/>
          <w:b/>
          <w:szCs w:val="32"/>
          <w:lang w:val="en-US" w:eastAsia="zh-CN"/>
        </w:rPr>
      </w:pPr>
    </w:p>
    <w:p>
      <w:pPr>
        <w:numPr>
          <w:ilvl w:val="0"/>
          <w:numId w:val="0"/>
        </w:numPr>
        <w:ind w:leftChars="0"/>
        <w:jc w:val="both"/>
        <w:rPr>
          <w:rStyle w:val="6"/>
          <w:rFonts w:hint="eastAsia" w:ascii="仿宋_GB2312" w:eastAsia="仿宋_GB2312"/>
          <w:b/>
          <w:szCs w:val="32"/>
          <w:lang w:val="en-US" w:eastAsia="zh-CN"/>
        </w:rPr>
      </w:pPr>
    </w:p>
    <w:p>
      <w:pPr>
        <w:numPr>
          <w:ilvl w:val="0"/>
          <w:numId w:val="0"/>
        </w:numPr>
        <w:ind w:leftChars="0"/>
        <w:jc w:val="both"/>
        <w:rPr>
          <w:rStyle w:val="6"/>
          <w:rFonts w:hint="eastAsia" w:ascii="仿宋_GB2312" w:eastAsia="仿宋_GB2312"/>
          <w:b/>
          <w:szCs w:val="32"/>
          <w:lang w:val="en-US" w:eastAsia="zh-CN"/>
        </w:rPr>
      </w:pPr>
    </w:p>
    <w:p>
      <w:pPr>
        <w:ind w:firstLine="0"/>
        <w:jc w:val="center"/>
        <w:rPr>
          <w:rStyle w:val="6"/>
          <w:rFonts w:ascii="仿宋_GB2312" w:hAnsi="黑体" w:eastAsia="仿宋_GB2312"/>
          <w:b/>
        </w:rPr>
      </w:pPr>
      <w:r>
        <w:rPr>
          <w:rStyle w:val="6"/>
          <w:rFonts w:hint="eastAsia" w:ascii="仿宋_GB2312" w:hAnsi="黑体" w:eastAsia="仿宋_GB2312"/>
          <w:b/>
        </w:rPr>
        <w:t>第一部分  部门概况</w:t>
      </w:r>
    </w:p>
    <w:p>
      <w:pPr>
        <w:pStyle w:val="17"/>
        <w:numPr>
          <w:ilvl w:val="0"/>
          <w:numId w:val="3"/>
        </w:numPr>
        <w:ind w:firstLineChars="0"/>
        <w:rPr>
          <w:rStyle w:val="6"/>
          <w:rFonts w:ascii="仿宋_GB2312" w:eastAsia="仿宋_GB2312"/>
          <w:b/>
        </w:rPr>
      </w:pPr>
      <w:r>
        <w:rPr>
          <w:rStyle w:val="6"/>
          <w:rFonts w:hint="eastAsia" w:ascii="仿宋_GB2312" w:eastAsia="仿宋_GB2312"/>
          <w:b/>
        </w:rPr>
        <w:t>主要职能</w:t>
      </w:r>
    </w:p>
    <w:p>
      <w:pPr>
        <w:ind w:left="640" w:firstLine="0"/>
        <w:rPr>
          <w:rStyle w:val="6"/>
          <w:rFonts w:ascii="仿宋_GB2312" w:eastAsia="仿宋_GB2312"/>
        </w:rPr>
      </w:pPr>
      <w:r>
        <w:rPr>
          <w:rStyle w:val="6"/>
          <w:rFonts w:hint="eastAsia" w:ascii="仿宋_GB2312" w:eastAsia="仿宋_GB2312"/>
          <w:b/>
        </w:rPr>
        <w:t xml:space="preserve">    </w:t>
      </w:r>
      <w:r>
        <w:rPr>
          <w:rStyle w:val="6"/>
          <w:rFonts w:hint="eastAsia" w:ascii="仿宋_GB2312" w:eastAsia="仿宋_GB2312"/>
        </w:rPr>
        <w:t>贯彻执行国家法律法规、方针政策，负责本</w:t>
      </w:r>
      <w:r>
        <w:rPr>
          <w:rStyle w:val="6"/>
          <w:rFonts w:hint="eastAsia" w:ascii="仿宋_GB2312" w:eastAsia="仿宋_GB2312"/>
          <w:lang w:val="en-US" w:eastAsia="zh-CN"/>
        </w:rPr>
        <w:t>辖区</w:t>
      </w:r>
      <w:r>
        <w:rPr>
          <w:rStyle w:val="6"/>
          <w:rFonts w:hint="eastAsia" w:ascii="仿宋_GB2312" w:eastAsia="仿宋_GB2312"/>
        </w:rPr>
        <w:t>行业安全生产监管等工作。承办上级管理部门和地方人民政府交办的其它事项。</w:t>
      </w:r>
    </w:p>
    <w:p>
      <w:pPr>
        <w:ind w:firstLine="640" w:firstLineChars="200"/>
        <w:rPr>
          <w:rStyle w:val="6"/>
          <w:rFonts w:ascii="仿宋_GB2312" w:eastAsia="仿宋_GB2312"/>
        </w:rPr>
      </w:pPr>
    </w:p>
    <w:p>
      <w:pPr>
        <w:ind w:firstLine="643" w:firstLineChars="200"/>
        <w:rPr>
          <w:rStyle w:val="6"/>
          <w:rFonts w:ascii="仿宋_GB2312" w:eastAsia="仿宋_GB2312"/>
          <w:b/>
        </w:rPr>
      </w:pPr>
      <w:r>
        <w:rPr>
          <w:rStyle w:val="6"/>
          <w:rFonts w:hint="eastAsia" w:ascii="仿宋_GB2312" w:eastAsia="仿宋_GB2312"/>
          <w:b/>
        </w:rPr>
        <w:t>二、部门机构设置情况</w:t>
      </w:r>
    </w:p>
    <w:p>
      <w:pPr>
        <w:ind w:firstLine="640" w:firstLineChars="200"/>
        <w:jc w:val="left"/>
        <w:rPr>
          <w:rStyle w:val="6"/>
          <w:rFonts w:ascii="仿宋_GB2312" w:eastAsia="仿宋_GB2312"/>
        </w:rPr>
      </w:pPr>
      <w:r>
        <w:rPr>
          <w:rStyle w:val="6"/>
          <w:rFonts w:hint="eastAsia" w:ascii="仿宋_GB2312" w:eastAsia="仿宋_GB2312"/>
        </w:rPr>
        <w:t>1</w:t>
      </w:r>
      <w:r>
        <w:rPr>
          <w:rStyle w:val="6"/>
          <w:rFonts w:hint="eastAsia" w:ascii="仿宋_GB2312" w:eastAsia="仿宋_GB2312"/>
          <w:szCs w:val="32"/>
        </w:rPr>
        <w:t>．</w:t>
      </w:r>
      <w:r>
        <w:rPr>
          <w:rStyle w:val="6"/>
          <w:rFonts w:hint="eastAsia" w:ascii="仿宋_GB2312" w:eastAsia="仿宋_GB2312"/>
        </w:rPr>
        <w:t>部门预算单位包括：黎城县冶金产业局，属行政事业单位</w:t>
      </w:r>
      <w:r>
        <w:rPr>
          <w:rStyle w:val="6"/>
          <w:rFonts w:hint="eastAsia" w:ascii="仿宋_GB2312" w:eastAsia="仿宋_GB2312"/>
          <w:lang w:eastAsia="zh-CN"/>
        </w:rPr>
        <w:t>，</w:t>
      </w:r>
      <w:r>
        <w:rPr>
          <w:rStyle w:val="6"/>
          <w:rFonts w:hint="eastAsia" w:ascii="仿宋_GB2312" w:eastAsia="仿宋_GB2312"/>
          <w:lang w:val="en-US" w:eastAsia="zh-CN"/>
        </w:rPr>
        <w:t>内设科室：领导室、办公室、财务室</w:t>
      </w:r>
      <w:r>
        <w:rPr>
          <w:rStyle w:val="6"/>
          <w:rFonts w:hint="eastAsia" w:ascii="仿宋_GB2312" w:eastAsia="仿宋_GB2312"/>
        </w:rPr>
        <w:t>。</w:t>
      </w:r>
    </w:p>
    <w:p>
      <w:pPr>
        <w:ind w:firstLine="640" w:firstLineChars="200"/>
        <w:jc w:val="left"/>
        <w:rPr>
          <w:rStyle w:val="6"/>
          <w:rFonts w:ascii="仿宋_GB2312" w:eastAsia="仿宋_GB2312"/>
        </w:rPr>
      </w:pPr>
      <w:r>
        <w:rPr>
          <w:rStyle w:val="6"/>
          <w:rFonts w:hint="eastAsia" w:ascii="仿宋_GB2312" w:eastAsia="仿宋_GB2312"/>
        </w:rPr>
        <w:t>2</w:t>
      </w:r>
      <w:r>
        <w:rPr>
          <w:rStyle w:val="6"/>
          <w:rFonts w:hint="eastAsia" w:ascii="仿宋_GB2312" w:eastAsia="仿宋_GB2312"/>
          <w:szCs w:val="32"/>
        </w:rPr>
        <w:t>．</w:t>
      </w:r>
      <w:r>
        <w:rPr>
          <w:rStyle w:val="6"/>
          <w:rFonts w:hint="eastAsia" w:ascii="仿宋_GB2312" w:eastAsia="仿宋_GB2312"/>
        </w:rPr>
        <w:t>从预算单位构成来看，纳入本部门2020年部门总预算编制范围的预算单位共计1家：黎城县冶金产业局。</w:t>
      </w:r>
    </w:p>
    <w:p>
      <w:pPr>
        <w:ind w:firstLine="640" w:firstLineChars="200"/>
        <w:jc w:val="left"/>
        <w:rPr>
          <w:rStyle w:val="6"/>
          <w:rFonts w:ascii="仿宋_GB2312" w:eastAsia="仿宋_GB2312"/>
          <w:sz w:val="44"/>
          <w:szCs w:val="44"/>
        </w:rPr>
      </w:pPr>
      <w:r>
        <w:rPr>
          <w:rStyle w:val="6"/>
          <w:rFonts w:hint="eastAsia" w:ascii="仿宋_GB2312" w:eastAsia="仿宋_GB2312"/>
        </w:rPr>
        <w:t>3</w:t>
      </w:r>
      <w:r>
        <w:rPr>
          <w:rStyle w:val="6"/>
          <w:rFonts w:hint="eastAsia" w:ascii="仿宋_GB2312" w:eastAsia="仿宋_GB2312"/>
          <w:szCs w:val="32"/>
        </w:rPr>
        <w:t>．</w:t>
      </w:r>
      <w:r>
        <w:rPr>
          <w:rStyle w:val="6"/>
          <w:rFonts w:hint="eastAsia" w:ascii="仿宋_GB2312" w:eastAsia="仿宋_GB2312"/>
          <w:szCs w:val="32"/>
          <w:lang w:val="en-US" w:eastAsia="zh-CN"/>
        </w:rPr>
        <w:t>本部门无下属单位</w:t>
      </w:r>
      <w:r>
        <w:rPr>
          <w:rStyle w:val="6"/>
          <w:rFonts w:hint="eastAsia" w:ascii="仿宋_GB2312" w:eastAsia="仿宋_GB2312"/>
        </w:rPr>
        <w:t>。</w:t>
      </w:r>
    </w:p>
    <w:p>
      <w:pPr>
        <w:ind w:firstLine="643" w:firstLineChars="200"/>
        <w:jc w:val="center"/>
        <w:rPr>
          <w:rStyle w:val="6"/>
          <w:rFonts w:ascii="仿宋_GB2312" w:eastAsia="仿宋_GB2312"/>
          <w:b/>
          <w:szCs w:val="32"/>
        </w:rPr>
      </w:pPr>
      <w:r>
        <w:rPr>
          <w:rStyle w:val="6"/>
          <w:rFonts w:hint="eastAsia" w:ascii="仿宋_GB2312" w:eastAsia="仿宋_GB2312"/>
          <w:b/>
          <w:szCs w:val="32"/>
        </w:rPr>
        <w:t>第二部分　部门预算表（略，详见附表）</w:t>
      </w:r>
    </w:p>
    <w:p>
      <w:pPr>
        <w:spacing w:before="312" w:beforeAutospacing="1" w:after="312" w:afterAutospacing="1" w:line="550" w:lineRule="exact"/>
        <w:jc w:val="center"/>
        <w:rPr>
          <w:rStyle w:val="6"/>
          <w:rFonts w:ascii="仿宋_GB2312" w:eastAsia="仿宋_GB2312"/>
          <w:b/>
          <w:szCs w:val="32"/>
        </w:rPr>
      </w:pPr>
      <w:r>
        <w:rPr>
          <w:rStyle w:val="6"/>
          <w:rFonts w:hint="eastAsia" w:ascii="仿宋_GB2312" w:eastAsia="仿宋_GB2312"/>
          <w:b/>
          <w:szCs w:val="32"/>
        </w:rPr>
        <w:t>第三部分 部门预算情况说明</w:t>
      </w:r>
    </w:p>
    <w:p>
      <w:pPr>
        <w:spacing w:before="156" w:line="550" w:lineRule="exact"/>
        <w:ind w:firstLine="643" w:firstLineChars="200"/>
        <w:rPr>
          <w:rStyle w:val="6"/>
          <w:rFonts w:ascii="仿宋_GB2312" w:eastAsia="仿宋_GB2312"/>
          <w:b/>
          <w:szCs w:val="32"/>
        </w:rPr>
      </w:pPr>
      <w:r>
        <w:rPr>
          <w:rStyle w:val="6"/>
          <w:rFonts w:hint="eastAsia" w:ascii="仿宋_GB2312" w:eastAsia="仿宋_GB2312"/>
          <w:b/>
          <w:szCs w:val="32"/>
        </w:rPr>
        <w:t>一、收支预算总体情况说明</w:t>
      </w:r>
    </w:p>
    <w:p>
      <w:pPr>
        <w:spacing w:line="550" w:lineRule="exact"/>
        <w:ind w:left="160" w:leftChars="50" w:firstLine="480" w:firstLineChars="150"/>
        <w:rPr>
          <w:rStyle w:val="6"/>
          <w:rFonts w:ascii="仿宋_GB2312" w:eastAsia="仿宋_GB2312"/>
          <w:szCs w:val="32"/>
        </w:rPr>
      </w:pPr>
      <w:r>
        <w:rPr>
          <w:rStyle w:val="6"/>
          <w:rFonts w:hint="eastAsia" w:ascii="仿宋_GB2312" w:eastAsia="仿宋_GB2312"/>
          <w:szCs w:val="32"/>
          <w:lang w:val="en-US" w:eastAsia="zh-CN"/>
        </w:rPr>
        <w:t>本部门本</w:t>
      </w:r>
      <w:r>
        <w:rPr>
          <w:rStyle w:val="6"/>
          <w:rFonts w:hint="eastAsia" w:ascii="仿宋_GB2312" w:eastAsia="仿宋_GB2312"/>
          <w:szCs w:val="32"/>
        </w:rPr>
        <w:t>年度收入总计128.9万元、支出总计128.9万元，与上年相比收入预算增加2.3万元、支出预算增加2.3万元，增长1.78%。主要原因是人员正常增资。其中：</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（一）收入预算总计128.9万元。包括：</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1．财政拨款收入预算总计128.9万元。</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（1）一般公共预算收入预算67.71万元，与上年相比增加2.3万元，增长3.39%。主要原因是人员正常增资。</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（2）政府性基金收入预算61.19万元，与上年相比无增加。主要原因是此项基金为征地和拆迁补偿，不会增加和减少。</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（二）支出预算总计128.9万元。包括：</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1．社会保障和就业支出5.2万元，主要用于单位职工基本养老保险缴费支出。与上年相比减少3.36万元，减少64.61%。主要原因是缴费基数调整。</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2．住房保障支出6.93万元，主要用于单位职工住房公积金缴纳。与上年相比增加1.79万元，增长25.83%。主要原因是缴费基数调整。</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此外，基本支出预算数为67.71万元。与上年相比增加2.3万元，增长3.39%。</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项目支出预算数为61.19万元。与上年相比无增加。主要原因是此项基金为征地和拆迁补偿，不会增加和减少。</w:t>
      </w:r>
    </w:p>
    <w:p>
      <w:pPr>
        <w:spacing w:line="550" w:lineRule="exact"/>
        <w:ind w:firstLine="643" w:firstLineChars="200"/>
        <w:rPr>
          <w:rStyle w:val="6"/>
          <w:rFonts w:ascii="仿宋_GB2312" w:eastAsia="仿宋_GB2312"/>
          <w:b/>
          <w:szCs w:val="32"/>
        </w:rPr>
      </w:pPr>
      <w:r>
        <w:rPr>
          <w:rStyle w:val="6"/>
          <w:rFonts w:hint="eastAsia" w:ascii="仿宋_GB2312" w:eastAsia="仿宋_GB2312"/>
          <w:b/>
          <w:szCs w:val="32"/>
        </w:rPr>
        <w:t>二、收入预算情况说明</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本部门本年</w:t>
      </w:r>
      <w:r>
        <w:rPr>
          <w:rStyle w:val="6"/>
          <w:rFonts w:hint="eastAsia" w:ascii="仿宋_GB2312" w:eastAsia="仿宋_GB2312"/>
          <w:szCs w:val="32"/>
          <w:lang w:val="en-US" w:eastAsia="zh-CN"/>
        </w:rPr>
        <w:t>度</w:t>
      </w:r>
      <w:r>
        <w:rPr>
          <w:rStyle w:val="6"/>
          <w:rFonts w:hint="eastAsia" w:ascii="仿宋_GB2312" w:eastAsia="仿宋_GB2312"/>
          <w:szCs w:val="32"/>
        </w:rPr>
        <w:t>收入预算合计128.9万元，其中：</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一般公共预算收入67.71万元，占52.53 %；</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政府性基金预算收入61.19 万元，占47.47%；</w:t>
      </w:r>
    </w:p>
    <w:p>
      <w:pPr>
        <w:spacing w:line="550" w:lineRule="exact"/>
        <w:ind w:firstLine="643" w:firstLineChars="200"/>
        <w:rPr>
          <w:rStyle w:val="6"/>
          <w:rFonts w:ascii="仿宋_GB2312" w:eastAsia="仿宋_GB2312"/>
          <w:b/>
          <w:szCs w:val="32"/>
        </w:rPr>
      </w:pPr>
      <w:r>
        <w:rPr>
          <w:rStyle w:val="6"/>
          <w:rFonts w:hint="eastAsia" w:ascii="仿宋_GB2312" w:eastAsia="仿宋_GB2312"/>
          <w:b/>
          <w:szCs w:val="32"/>
        </w:rPr>
        <w:t>三、支出预算情况说明</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本部门本年</w:t>
      </w:r>
      <w:r>
        <w:rPr>
          <w:rStyle w:val="6"/>
          <w:rFonts w:hint="eastAsia" w:ascii="仿宋_GB2312" w:eastAsia="仿宋_GB2312"/>
          <w:szCs w:val="32"/>
          <w:lang w:val="en-US" w:eastAsia="zh-CN"/>
        </w:rPr>
        <w:t>度</w:t>
      </w:r>
      <w:r>
        <w:rPr>
          <w:rStyle w:val="6"/>
          <w:rFonts w:hint="eastAsia" w:ascii="仿宋_GB2312" w:eastAsia="仿宋_GB2312"/>
          <w:szCs w:val="32"/>
        </w:rPr>
        <w:t>支出预算合计128.9万元，其中：</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基本支出67.71万元，占52.53%；</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项目支出61.19万元，占47.47%；</w:t>
      </w:r>
    </w:p>
    <w:p>
      <w:pPr>
        <w:spacing w:line="550" w:lineRule="exact"/>
        <w:ind w:firstLine="643" w:firstLineChars="200"/>
        <w:rPr>
          <w:rStyle w:val="6"/>
          <w:rFonts w:ascii="仿宋_GB2312" w:eastAsia="仿宋_GB2312"/>
          <w:b/>
          <w:szCs w:val="32"/>
        </w:rPr>
      </w:pPr>
      <w:r>
        <w:rPr>
          <w:rStyle w:val="6"/>
          <w:rFonts w:hint="eastAsia" w:ascii="仿宋_GB2312" w:eastAsia="仿宋_GB2312"/>
          <w:b/>
          <w:szCs w:val="32"/>
        </w:rPr>
        <w:t>四、财政拨款收支预算总体情况说明</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本部门本年度财政拨款收入总预算128.9万元、支出总预算128.9万元。与上年相比，财政拨款收、支总计各增加2.3万元，增长1.78%。主要原因是人员正常增资。</w:t>
      </w:r>
    </w:p>
    <w:p>
      <w:pPr>
        <w:spacing w:line="550" w:lineRule="exact"/>
        <w:ind w:firstLine="643" w:firstLineChars="200"/>
        <w:rPr>
          <w:rStyle w:val="6"/>
          <w:rFonts w:ascii="仿宋_GB2312" w:eastAsia="仿宋_GB2312"/>
          <w:b/>
          <w:szCs w:val="32"/>
        </w:rPr>
      </w:pPr>
      <w:r>
        <w:rPr>
          <w:rStyle w:val="6"/>
          <w:rFonts w:hint="eastAsia" w:ascii="仿宋_GB2312" w:eastAsia="仿宋_GB2312"/>
          <w:b/>
          <w:szCs w:val="32"/>
        </w:rPr>
        <w:t>五、一般公共预算支出预算情况说明</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本部门本年</w:t>
      </w:r>
      <w:r>
        <w:rPr>
          <w:rStyle w:val="6"/>
          <w:rFonts w:hint="eastAsia" w:ascii="仿宋_GB2312" w:eastAsia="仿宋_GB2312"/>
          <w:szCs w:val="32"/>
          <w:lang w:val="en-US" w:eastAsia="zh-CN"/>
        </w:rPr>
        <w:t>度</w:t>
      </w:r>
      <w:r>
        <w:rPr>
          <w:rStyle w:val="6"/>
          <w:rFonts w:hint="eastAsia" w:ascii="仿宋_GB2312" w:eastAsia="仿宋_GB2312"/>
          <w:szCs w:val="32"/>
        </w:rPr>
        <w:t>一般公共预算财政拨款支出预算128.9万元，与上年相比增加2.3万元，增长1.78%。主要原因是人员正常增资。</w:t>
      </w:r>
    </w:p>
    <w:p>
      <w:pPr>
        <w:spacing w:line="550" w:lineRule="exact"/>
        <w:ind w:firstLine="643" w:firstLineChars="200"/>
        <w:rPr>
          <w:rStyle w:val="6"/>
          <w:rFonts w:ascii="仿宋_GB2312" w:eastAsia="仿宋_GB2312"/>
          <w:b/>
          <w:szCs w:val="32"/>
        </w:rPr>
      </w:pPr>
      <w:r>
        <w:rPr>
          <w:rStyle w:val="6"/>
          <w:rFonts w:hint="eastAsia" w:ascii="仿宋_GB2312" w:eastAsia="仿宋_GB2312"/>
          <w:b/>
          <w:szCs w:val="32"/>
        </w:rPr>
        <w:t>六、一般公共预算基本支出预算情况说明</w:t>
      </w:r>
    </w:p>
    <w:p>
      <w:pPr>
        <w:spacing w:line="550" w:lineRule="exact"/>
        <w:ind w:firstLine="672" w:firstLineChars="200"/>
        <w:rPr>
          <w:rStyle w:val="6"/>
          <w:rFonts w:ascii="仿宋_GB2312" w:eastAsia="仿宋_GB2312"/>
          <w:spacing w:val="8"/>
          <w:szCs w:val="32"/>
        </w:rPr>
      </w:pPr>
      <w:r>
        <w:rPr>
          <w:rStyle w:val="6"/>
          <w:rFonts w:hint="eastAsia" w:ascii="仿宋_GB2312" w:eastAsia="仿宋_GB2312"/>
          <w:spacing w:val="8"/>
          <w:szCs w:val="32"/>
        </w:rPr>
        <w:t>本部门本年度一般公共预算财政拨款基本支出预算</w:t>
      </w:r>
    </w:p>
    <w:p>
      <w:pPr>
        <w:spacing w:line="550" w:lineRule="exact"/>
        <w:ind w:firstLine="0"/>
        <w:rPr>
          <w:rStyle w:val="6"/>
          <w:rFonts w:ascii="仿宋_GB2312" w:eastAsia="仿宋_GB2312"/>
          <w:spacing w:val="8"/>
          <w:szCs w:val="32"/>
        </w:rPr>
      </w:pPr>
      <w:r>
        <w:rPr>
          <w:rStyle w:val="6"/>
          <w:rFonts w:hint="eastAsia" w:ascii="仿宋_GB2312" w:eastAsia="仿宋_GB2312"/>
          <w:spacing w:val="8"/>
          <w:szCs w:val="32"/>
        </w:rPr>
        <w:t>67.71万元，其中：</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一）人员经费60.8万元。主要包括：基本工资、津贴补贴、奖金、社会保障缴费、伙食补助费、绩效工资、其他工资福利支出、离休费、退休费、抚恤金、生活补助、医疗费、奖励金、住房公积金、提租补贴、……、其他对个人和家庭的补助支出。</w:t>
      </w:r>
    </w:p>
    <w:p>
      <w:pPr>
        <w:spacing w:line="550" w:lineRule="exact"/>
        <w:ind w:firstLine="640" w:firstLineChars="200"/>
        <w:rPr>
          <w:rStyle w:val="6"/>
          <w:rFonts w:ascii="仿宋_GB2312" w:eastAsia="仿宋_GB2312"/>
          <w:i/>
          <w:szCs w:val="32"/>
        </w:rPr>
      </w:pPr>
      <w:r>
        <w:rPr>
          <w:rStyle w:val="6"/>
          <w:rFonts w:hint="eastAsia" w:ascii="仿宋_GB2312" w:eastAsia="仿宋_GB2312"/>
          <w:szCs w:val="32"/>
        </w:rPr>
        <w:t>（二）公用经费6.91万元。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pPr>
        <w:spacing w:line="550" w:lineRule="exact"/>
        <w:ind w:firstLine="643" w:firstLineChars="200"/>
        <w:rPr>
          <w:rStyle w:val="6"/>
          <w:rFonts w:ascii="仿宋_GB2312" w:eastAsia="仿宋_GB2312"/>
          <w:b/>
          <w:szCs w:val="32"/>
        </w:rPr>
      </w:pPr>
      <w:r>
        <w:rPr>
          <w:rStyle w:val="6"/>
          <w:rFonts w:hint="eastAsia" w:ascii="仿宋_GB2312" w:eastAsia="仿宋_GB2312"/>
          <w:b/>
          <w:szCs w:val="32"/>
        </w:rPr>
        <w:t>七、一般公共预算“三公”经费支出预算情况说明</w:t>
      </w:r>
    </w:p>
    <w:p>
      <w:pPr>
        <w:spacing w:line="550" w:lineRule="exact"/>
        <w:ind w:firstLine="640" w:firstLineChars="200"/>
        <w:rPr>
          <w:rStyle w:val="6"/>
          <w:rFonts w:hint="eastAsia" w:ascii="仿宋_GB2312" w:eastAsia="仿宋_GB2312"/>
          <w:szCs w:val="32"/>
          <w:lang w:eastAsia="zh-CN"/>
        </w:rPr>
      </w:pPr>
      <w:r>
        <w:rPr>
          <w:rStyle w:val="6"/>
          <w:rFonts w:hint="eastAsia" w:ascii="仿宋_GB2312" w:eastAsia="仿宋_GB2312"/>
          <w:szCs w:val="32"/>
        </w:rPr>
        <w:t>本部门本年度</w:t>
      </w:r>
      <w:r>
        <w:rPr>
          <w:rStyle w:val="6"/>
          <w:rFonts w:hint="eastAsia" w:ascii="仿宋_GB2312" w:eastAsia="仿宋_GB2312"/>
          <w:szCs w:val="32"/>
          <w:lang w:eastAsia="zh-CN"/>
        </w:rPr>
        <w:t>无</w:t>
      </w:r>
      <w:r>
        <w:rPr>
          <w:rStyle w:val="6"/>
          <w:rFonts w:hint="eastAsia" w:ascii="仿宋_GB2312" w:eastAsia="仿宋_GB2312"/>
          <w:szCs w:val="32"/>
        </w:rPr>
        <w:t>一般公共预算拨款安排的“三公”经费预算支出</w:t>
      </w:r>
      <w:r>
        <w:rPr>
          <w:rStyle w:val="6"/>
          <w:rFonts w:hint="eastAsia" w:ascii="仿宋_GB2312" w:eastAsia="仿宋_GB2312"/>
          <w:szCs w:val="32"/>
          <w:lang w:eastAsia="zh-CN"/>
        </w:rPr>
        <w:t>，</w:t>
      </w:r>
      <w:r>
        <w:rPr>
          <w:rStyle w:val="6"/>
          <w:rFonts w:hint="eastAsia" w:ascii="仿宋_GB2312" w:eastAsia="仿宋_GB2312"/>
          <w:szCs w:val="32"/>
        </w:rPr>
        <w:t>无因公出国（境）费支出，占“三公”经费的0 %；无公务用车购置及运行费支出，占“三公”经费的0%；无公务接待费支出，占“三公”经费的0%。具体情况如</w:t>
      </w:r>
      <w:r>
        <w:rPr>
          <w:rStyle w:val="6"/>
          <w:rFonts w:hint="eastAsia" w:ascii="仿宋_GB2312" w:eastAsia="仿宋_GB2312"/>
          <w:szCs w:val="32"/>
          <w:lang w:eastAsia="zh-CN"/>
        </w:rPr>
        <w:t>下：</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1．</w:t>
      </w:r>
      <w:r>
        <w:rPr>
          <w:rStyle w:val="6"/>
          <w:rFonts w:hint="eastAsia" w:ascii="仿宋_GB2312" w:eastAsia="仿宋_GB2312"/>
          <w:szCs w:val="32"/>
          <w:lang w:val="en-US" w:eastAsia="zh-CN"/>
        </w:rPr>
        <w:t>本单位无</w:t>
      </w:r>
      <w:r>
        <w:rPr>
          <w:rStyle w:val="6"/>
          <w:rFonts w:hint="eastAsia" w:ascii="仿宋_GB2312" w:eastAsia="仿宋_GB2312"/>
          <w:szCs w:val="32"/>
        </w:rPr>
        <w:t>因公出国（境）费预算支出。</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2．</w:t>
      </w:r>
      <w:r>
        <w:rPr>
          <w:rStyle w:val="6"/>
          <w:rFonts w:hint="eastAsia" w:ascii="仿宋_GB2312" w:eastAsia="仿宋_GB2312"/>
          <w:szCs w:val="32"/>
          <w:lang w:val="en-US" w:eastAsia="zh-CN"/>
        </w:rPr>
        <w:t>本单位无</w:t>
      </w:r>
      <w:r>
        <w:rPr>
          <w:rStyle w:val="6"/>
          <w:rFonts w:hint="eastAsia" w:ascii="仿宋_GB2312" w:eastAsia="仿宋_GB2312"/>
          <w:szCs w:val="32"/>
        </w:rPr>
        <w:t>公务用车购置及运行费预算支出。其中：</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（1）</w:t>
      </w:r>
      <w:r>
        <w:rPr>
          <w:rStyle w:val="6"/>
          <w:rFonts w:hint="eastAsia" w:ascii="仿宋_GB2312" w:eastAsia="仿宋_GB2312"/>
          <w:szCs w:val="32"/>
          <w:lang w:val="en-US" w:eastAsia="zh-CN"/>
        </w:rPr>
        <w:t>本单位无</w:t>
      </w:r>
      <w:r>
        <w:rPr>
          <w:rStyle w:val="6"/>
          <w:rFonts w:hint="eastAsia" w:ascii="仿宋_GB2312" w:eastAsia="仿宋_GB2312"/>
          <w:szCs w:val="32"/>
        </w:rPr>
        <w:t>公务用车购置预算支出。</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（2）</w:t>
      </w:r>
      <w:r>
        <w:rPr>
          <w:rStyle w:val="6"/>
          <w:rFonts w:hint="eastAsia" w:ascii="仿宋_GB2312" w:eastAsia="仿宋_GB2312"/>
          <w:szCs w:val="32"/>
          <w:lang w:val="en-US" w:eastAsia="zh-CN"/>
        </w:rPr>
        <w:t>本单位无</w:t>
      </w:r>
      <w:r>
        <w:rPr>
          <w:rStyle w:val="6"/>
          <w:rFonts w:hint="eastAsia" w:ascii="仿宋_GB2312" w:eastAsia="仿宋_GB2312"/>
          <w:szCs w:val="32"/>
        </w:rPr>
        <w:t>公务用车运行维护费预算支出。</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3．</w:t>
      </w:r>
      <w:r>
        <w:rPr>
          <w:rStyle w:val="6"/>
          <w:rFonts w:hint="eastAsia" w:ascii="仿宋_GB2312" w:eastAsia="仿宋_GB2312"/>
          <w:szCs w:val="32"/>
          <w:lang w:val="en-US" w:eastAsia="zh-CN"/>
        </w:rPr>
        <w:t>本单位无</w:t>
      </w:r>
      <w:r>
        <w:rPr>
          <w:rStyle w:val="6"/>
          <w:rFonts w:hint="eastAsia" w:ascii="仿宋_GB2312" w:eastAsia="仿宋_GB2312"/>
          <w:szCs w:val="32"/>
        </w:rPr>
        <w:t>公务接待费预算支出。</w:t>
      </w:r>
    </w:p>
    <w:p>
      <w:pPr>
        <w:spacing w:line="550" w:lineRule="exact"/>
        <w:ind w:firstLine="643" w:firstLineChars="200"/>
        <w:rPr>
          <w:rStyle w:val="6"/>
          <w:rFonts w:ascii="仿宋_GB2312" w:eastAsia="仿宋_GB2312"/>
          <w:b/>
          <w:szCs w:val="32"/>
        </w:rPr>
      </w:pPr>
      <w:r>
        <w:rPr>
          <w:rStyle w:val="6"/>
          <w:rFonts w:hint="eastAsia" w:ascii="仿宋_GB2312" w:eastAsia="仿宋_GB2312"/>
          <w:b/>
          <w:szCs w:val="32"/>
        </w:rPr>
        <w:t>八、政府性基金预算支出预算情况说明</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本部门本年</w:t>
      </w:r>
      <w:r>
        <w:rPr>
          <w:rStyle w:val="6"/>
          <w:rFonts w:hint="eastAsia" w:ascii="仿宋_GB2312" w:eastAsia="仿宋_GB2312"/>
          <w:szCs w:val="32"/>
          <w:lang w:val="en-US" w:eastAsia="zh-CN"/>
        </w:rPr>
        <w:t>度</w:t>
      </w:r>
      <w:r>
        <w:rPr>
          <w:rStyle w:val="6"/>
          <w:rFonts w:hint="eastAsia" w:ascii="仿宋_GB2312" w:eastAsia="仿宋_GB2312"/>
          <w:szCs w:val="32"/>
        </w:rPr>
        <w:t>政府性基金支出预算支出61.19万元。与上年相比无增加。主要原因是此项基金为征地和拆迁补偿，不会增加和减少。</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 xml:space="preserve">其中： </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1．城乡社区支出（类）政府住房基金及对应专项债务收入安排的支出（款）管理费用支出（项）支出61.19万元，主要是用于太行钢厂征地和拆迁补偿。</w:t>
      </w:r>
    </w:p>
    <w:p>
      <w:pPr>
        <w:spacing w:line="550" w:lineRule="exact"/>
        <w:ind w:firstLine="643" w:firstLineChars="200"/>
        <w:rPr>
          <w:rStyle w:val="6"/>
          <w:rFonts w:ascii="仿宋_GB2312" w:eastAsia="仿宋_GB2312"/>
          <w:b/>
          <w:szCs w:val="32"/>
        </w:rPr>
      </w:pPr>
      <w:r>
        <w:rPr>
          <w:rStyle w:val="6"/>
          <w:rFonts w:hint="eastAsia" w:ascii="仿宋_GB2312" w:eastAsia="仿宋_GB2312"/>
          <w:b/>
          <w:szCs w:val="32"/>
        </w:rPr>
        <w:t>九、一般公共预算机关运行经费支出预算情况说明</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本部门本年</w:t>
      </w:r>
      <w:r>
        <w:rPr>
          <w:rStyle w:val="6"/>
          <w:rFonts w:hint="eastAsia" w:ascii="仿宋_GB2312" w:eastAsia="仿宋_GB2312"/>
          <w:szCs w:val="32"/>
          <w:lang w:val="en-US" w:eastAsia="zh-CN"/>
        </w:rPr>
        <w:t>度</w:t>
      </w:r>
      <w:r>
        <w:rPr>
          <w:rStyle w:val="6"/>
          <w:rFonts w:hint="eastAsia" w:ascii="仿宋_GB2312" w:eastAsia="仿宋_GB2312"/>
          <w:szCs w:val="32"/>
        </w:rPr>
        <w:t>无一般公共预算机关运行经费预算支出。</w:t>
      </w:r>
    </w:p>
    <w:p>
      <w:pPr>
        <w:spacing w:line="550" w:lineRule="exact"/>
        <w:ind w:firstLine="643" w:firstLineChars="200"/>
        <w:rPr>
          <w:rStyle w:val="6"/>
          <w:rFonts w:ascii="仿宋_GB2312" w:eastAsia="仿宋_GB2312"/>
          <w:b/>
          <w:szCs w:val="32"/>
        </w:rPr>
      </w:pPr>
      <w:r>
        <w:rPr>
          <w:rStyle w:val="6"/>
          <w:rFonts w:hint="eastAsia" w:ascii="仿宋_GB2312" w:eastAsia="仿宋_GB2312"/>
          <w:b/>
          <w:szCs w:val="32"/>
        </w:rPr>
        <w:t>十、政府采购支出预算情况说明</w:t>
      </w:r>
    </w:p>
    <w:p>
      <w:pPr>
        <w:spacing w:line="550" w:lineRule="exact"/>
        <w:ind w:firstLine="640" w:firstLineChars="200"/>
        <w:rPr>
          <w:rStyle w:val="6"/>
          <w:rFonts w:hint="eastAsia" w:ascii="仿宋_GB2312" w:eastAsia="仿宋_GB2312"/>
          <w:szCs w:val="32"/>
          <w:lang w:eastAsia="zh-CN"/>
        </w:rPr>
      </w:pPr>
      <w:r>
        <w:rPr>
          <w:rStyle w:val="6"/>
          <w:rFonts w:hint="eastAsia" w:ascii="仿宋_GB2312" w:eastAsia="仿宋_GB2312"/>
          <w:szCs w:val="32"/>
        </w:rPr>
        <w:t>本年度本年</w:t>
      </w:r>
      <w:r>
        <w:rPr>
          <w:rStyle w:val="6"/>
          <w:rFonts w:hint="eastAsia" w:ascii="仿宋_GB2312" w:eastAsia="仿宋_GB2312"/>
          <w:szCs w:val="32"/>
          <w:lang w:val="en-US" w:eastAsia="zh-CN"/>
        </w:rPr>
        <w:t>度</w:t>
      </w:r>
      <w:r>
        <w:rPr>
          <w:rStyle w:val="6"/>
          <w:rFonts w:hint="eastAsia" w:ascii="仿宋_GB2312" w:eastAsia="仿宋_GB2312"/>
          <w:szCs w:val="32"/>
        </w:rPr>
        <w:t>无政府采购支出</w:t>
      </w:r>
      <w:r>
        <w:rPr>
          <w:rStyle w:val="6"/>
          <w:rFonts w:hint="eastAsia" w:ascii="仿宋_GB2312" w:eastAsia="仿宋_GB2312"/>
          <w:szCs w:val="32"/>
          <w:lang w:eastAsia="zh-CN"/>
        </w:rPr>
        <w:t>。</w:t>
      </w:r>
    </w:p>
    <w:p>
      <w:pPr>
        <w:spacing w:line="550" w:lineRule="exact"/>
        <w:ind w:firstLine="643" w:firstLineChars="200"/>
        <w:rPr>
          <w:rStyle w:val="6"/>
          <w:rFonts w:ascii="仿宋_GB2312" w:eastAsia="仿宋_GB2312"/>
          <w:b/>
          <w:szCs w:val="32"/>
        </w:rPr>
      </w:pPr>
      <w:r>
        <w:rPr>
          <w:rStyle w:val="6"/>
          <w:rFonts w:hint="eastAsia" w:ascii="仿宋_GB2312" w:eastAsia="仿宋_GB2312"/>
          <w:b/>
          <w:szCs w:val="32"/>
        </w:rPr>
        <w:t>十一、国有资产占用情况</w:t>
      </w:r>
    </w:p>
    <w:p>
      <w:pPr>
        <w:pStyle w:val="17"/>
        <w:numPr>
          <w:ilvl w:val="0"/>
          <w:numId w:val="4"/>
        </w:numPr>
        <w:spacing w:line="550" w:lineRule="exact"/>
        <w:ind w:firstLineChars="0"/>
        <w:rPr>
          <w:rStyle w:val="6"/>
          <w:rFonts w:ascii="仿宋_GB2312" w:eastAsia="仿宋_GB2312"/>
          <w:szCs w:val="32"/>
        </w:rPr>
      </w:pPr>
      <w:r>
        <w:rPr>
          <w:rStyle w:val="6"/>
          <w:rFonts w:hint="eastAsia" w:ascii="仿宋_GB2312" w:eastAsia="仿宋_GB2312"/>
          <w:szCs w:val="32"/>
        </w:rPr>
        <w:t>车辆情况：本部门无车辆。</w:t>
      </w:r>
    </w:p>
    <w:p>
      <w:pPr>
        <w:pStyle w:val="17"/>
        <w:numPr>
          <w:ilvl w:val="0"/>
          <w:numId w:val="4"/>
        </w:numPr>
        <w:spacing w:line="550" w:lineRule="exact"/>
        <w:ind w:left="0" w:firstLine="567" w:firstLineChars="0"/>
        <w:rPr>
          <w:rStyle w:val="6"/>
          <w:rFonts w:ascii="仿宋_GB2312" w:eastAsia="仿宋_GB2312"/>
          <w:szCs w:val="32"/>
        </w:rPr>
      </w:pPr>
      <w:r>
        <w:rPr>
          <w:rStyle w:val="6"/>
          <w:rFonts w:hint="eastAsia" w:ascii="仿宋_GB2312" w:eastAsia="仿宋_GB2312"/>
          <w:szCs w:val="32"/>
        </w:rPr>
        <w:t>土地房屋情况：本部门占用办公用房3间，面积大约100平方米，由县机关统一管理，资产未登记我单位。</w:t>
      </w:r>
    </w:p>
    <w:p>
      <w:pPr>
        <w:pStyle w:val="17"/>
        <w:numPr>
          <w:ilvl w:val="0"/>
          <w:numId w:val="4"/>
        </w:numPr>
        <w:spacing w:line="550" w:lineRule="exact"/>
        <w:ind w:left="0" w:firstLine="567" w:firstLineChars="0"/>
        <w:rPr>
          <w:rStyle w:val="6"/>
          <w:rFonts w:ascii="仿宋_GB2312" w:eastAsia="仿宋_GB2312"/>
          <w:szCs w:val="32"/>
        </w:rPr>
      </w:pPr>
      <w:r>
        <w:rPr>
          <w:rStyle w:val="6"/>
          <w:rFonts w:hint="eastAsia" w:ascii="仿宋_GB2312" w:eastAsia="仿宋_GB2312"/>
          <w:szCs w:val="32"/>
        </w:rPr>
        <w:t>其它国有资产占有使用情况：主要包括单位办公使用的电脑、办公桌椅、档案柜等，没有50万元以上的通用设备和100万元以上的专业设备。</w:t>
      </w:r>
    </w:p>
    <w:p>
      <w:pPr>
        <w:spacing w:line="550" w:lineRule="exact"/>
        <w:ind w:firstLine="643" w:firstLineChars="200"/>
        <w:rPr>
          <w:rStyle w:val="6"/>
          <w:rFonts w:ascii="仿宋_GB2312" w:eastAsia="仿宋_GB2312"/>
          <w:b/>
          <w:szCs w:val="32"/>
        </w:rPr>
      </w:pPr>
      <w:r>
        <w:rPr>
          <w:rStyle w:val="6"/>
          <w:rFonts w:hint="eastAsia" w:ascii="仿宋_GB2312" w:eastAsia="仿宋_GB2312"/>
          <w:b/>
          <w:szCs w:val="32"/>
        </w:rPr>
        <w:t>十二、预算绩效目标设置情况说明</w:t>
      </w:r>
    </w:p>
    <w:p>
      <w:pPr>
        <w:spacing w:line="550" w:lineRule="exact"/>
        <w:ind w:firstLine="640" w:firstLineChars="200"/>
        <w:rPr>
          <w:rStyle w:val="6"/>
          <w:rFonts w:ascii="仿宋_GB2312" w:eastAsia="仿宋_GB2312"/>
          <w:szCs w:val="32"/>
        </w:rPr>
      </w:pPr>
      <w:r>
        <w:rPr>
          <w:rStyle w:val="6"/>
          <w:rFonts w:hint="eastAsia" w:ascii="仿宋_GB2312" w:eastAsia="仿宋_GB2312"/>
          <w:szCs w:val="32"/>
        </w:rPr>
        <w:t>本部门</w:t>
      </w:r>
      <w:r>
        <w:rPr>
          <w:rStyle w:val="6"/>
          <w:rFonts w:hint="eastAsia" w:ascii="仿宋_GB2312" w:eastAsia="仿宋_GB2312"/>
          <w:szCs w:val="32"/>
          <w:lang w:val="en-US" w:eastAsia="zh-CN"/>
        </w:rPr>
        <w:t>本年度</w:t>
      </w:r>
      <w:r>
        <w:rPr>
          <w:rStyle w:val="6"/>
          <w:rFonts w:hint="eastAsia" w:ascii="仿宋_GB2312" w:eastAsia="仿宋_GB2312"/>
          <w:szCs w:val="32"/>
        </w:rPr>
        <w:t>无预算绩效项目。</w:t>
      </w:r>
    </w:p>
    <w:p>
      <w:pPr>
        <w:spacing w:before="312" w:beforeAutospacing="1" w:after="312" w:afterAutospacing="1" w:line="550" w:lineRule="exact"/>
        <w:ind w:firstLine="0"/>
        <w:jc w:val="center"/>
        <w:rPr>
          <w:rStyle w:val="6"/>
          <w:rFonts w:ascii="黑体" w:hAnsi="黑体" w:eastAsia="黑体"/>
          <w:szCs w:val="32"/>
        </w:rPr>
      </w:pPr>
      <w:r>
        <w:rPr>
          <w:rStyle w:val="6"/>
          <w:rFonts w:hint="eastAsia" w:ascii="黑体" w:hAnsi="黑体" w:eastAsia="黑体"/>
          <w:szCs w:val="32"/>
        </w:rPr>
        <w:t>第四部分　名词解释</w:t>
      </w:r>
    </w:p>
    <w:p>
      <w:pPr>
        <w:spacing w:line="550" w:lineRule="exact"/>
        <w:ind w:firstLine="643" w:firstLineChars="200"/>
        <w:rPr>
          <w:rStyle w:val="6"/>
          <w:rFonts w:ascii="仿宋_GB2312" w:eastAsia="仿宋_GB2312"/>
          <w:szCs w:val="32"/>
        </w:rPr>
      </w:pPr>
      <w:r>
        <w:rPr>
          <w:rStyle w:val="6"/>
          <w:rFonts w:hint="eastAsia" w:ascii="仿宋_GB2312" w:eastAsia="仿宋_GB2312"/>
          <w:b/>
          <w:szCs w:val="32"/>
        </w:rPr>
        <w:t>一、财政拨款：</w:t>
      </w:r>
      <w:r>
        <w:rPr>
          <w:rStyle w:val="6"/>
          <w:rFonts w:hint="eastAsia" w:ascii="仿宋_GB2312" w:eastAsia="仿宋_GB2312"/>
          <w:szCs w:val="32"/>
        </w:rPr>
        <w:t>指一般公共预算财政拨款和政府性基金预算财政拨款。</w:t>
      </w:r>
    </w:p>
    <w:p>
      <w:pPr>
        <w:spacing w:line="550" w:lineRule="exact"/>
        <w:ind w:firstLine="643" w:firstLineChars="200"/>
        <w:rPr>
          <w:rStyle w:val="6"/>
          <w:rFonts w:ascii="仿宋_GB2312" w:eastAsia="仿宋_GB2312"/>
          <w:szCs w:val="32"/>
        </w:rPr>
      </w:pPr>
      <w:r>
        <w:rPr>
          <w:rStyle w:val="6"/>
          <w:rFonts w:hint="eastAsia" w:ascii="仿宋_GB2312" w:eastAsia="仿宋_GB2312"/>
          <w:b/>
          <w:szCs w:val="32"/>
        </w:rPr>
        <w:t>二、一般公共预算：</w:t>
      </w:r>
      <w:r>
        <w:rPr>
          <w:rStyle w:val="6"/>
          <w:rFonts w:hint="eastAsia" w:ascii="仿宋_GB2312" w:eastAsia="仿宋_GB2312"/>
          <w:szCs w:val="32"/>
        </w:rPr>
        <w:t>包括公共财政拨款（补助）资金、专项收入。</w:t>
      </w:r>
    </w:p>
    <w:p>
      <w:pPr>
        <w:spacing w:line="550" w:lineRule="exact"/>
        <w:ind w:firstLine="643" w:firstLineChars="200"/>
        <w:rPr>
          <w:rStyle w:val="6"/>
          <w:rFonts w:ascii="仿宋_GB2312" w:eastAsia="仿宋_GB2312"/>
          <w:szCs w:val="32"/>
        </w:rPr>
      </w:pPr>
      <w:r>
        <w:rPr>
          <w:rStyle w:val="6"/>
          <w:rFonts w:hint="eastAsia" w:ascii="仿宋_GB2312" w:eastAsia="仿宋_GB2312"/>
          <w:b/>
          <w:szCs w:val="32"/>
        </w:rPr>
        <w:t>三、财政专户管理资金：</w:t>
      </w:r>
      <w:r>
        <w:rPr>
          <w:rStyle w:val="6"/>
          <w:rFonts w:hint="eastAsia" w:ascii="仿宋_GB2312" w:eastAsia="仿宋_GB2312"/>
          <w:szCs w:val="32"/>
        </w:rPr>
        <w:t>包括专户管理行政事业性收费（主要是教育收费）、其他非税收入。</w:t>
      </w:r>
    </w:p>
    <w:p>
      <w:pPr>
        <w:spacing w:line="550" w:lineRule="exact"/>
        <w:ind w:firstLine="643" w:firstLineChars="200"/>
        <w:rPr>
          <w:rStyle w:val="6"/>
          <w:rFonts w:ascii="仿宋_GB2312" w:eastAsia="仿宋_GB2312"/>
          <w:szCs w:val="32"/>
        </w:rPr>
      </w:pPr>
      <w:r>
        <w:rPr>
          <w:rStyle w:val="6"/>
          <w:rFonts w:hint="eastAsia" w:ascii="仿宋_GB2312" w:eastAsia="仿宋_GB2312"/>
          <w:b/>
          <w:szCs w:val="32"/>
        </w:rPr>
        <w:t>四、其他资金：</w:t>
      </w:r>
      <w:r>
        <w:rPr>
          <w:rStyle w:val="6"/>
          <w:rFonts w:hint="eastAsia" w:ascii="仿宋_GB2312" w:eastAsia="仿宋_GB2312"/>
          <w:szCs w:val="32"/>
        </w:rPr>
        <w:t>包括事业收入、经营收入、其他收入等。</w:t>
      </w:r>
    </w:p>
    <w:p>
      <w:pPr>
        <w:spacing w:line="550" w:lineRule="exact"/>
        <w:ind w:firstLine="643" w:firstLineChars="200"/>
        <w:rPr>
          <w:rStyle w:val="6"/>
          <w:rFonts w:ascii="仿宋_GB2312" w:eastAsia="仿宋_GB2312"/>
          <w:szCs w:val="32"/>
        </w:rPr>
      </w:pPr>
      <w:r>
        <w:rPr>
          <w:rStyle w:val="6"/>
          <w:rFonts w:hint="eastAsia" w:ascii="仿宋_GB2312" w:eastAsia="仿宋_GB2312"/>
          <w:b/>
          <w:szCs w:val="32"/>
        </w:rPr>
        <w:t>五、基本支出：</w:t>
      </w:r>
      <w:r>
        <w:rPr>
          <w:rStyle w:val="6"/>
          <w:rFonts w:hint="eastAsia" w:ascii="仿宋_GB2312" w:eastAsia="仿宋_GB2312"/>
          <w:szCs w:val="32"/>
        </w:rPr>
        <w:t>指为保障机构正常运转、完成工作任务而发生的人员支出和公用支出。</w:t>
      </w:r>
    </w:p>
    <w:p>
      <w:pPr>
        <w:spacing w:line="550" w:lineRule="exact"/>
        <w:ind w:firstLine="643" w:firstLineChars="200"/>
        <w:rPr>
          <w:rStyle w:val="6"/>
          <w:rFonts w:ascii="仿宋_GB2312" w:eastAsia="仿宋_GB2312"/>
          <w:szCs w:val="32"/>
        </w:rPr>
      </w:pPr>
      <w:r>
        <w:rPr>
          <w:rStyle w:val="6"/>
          <w:rFonts w:hint="eastAsia" w:ascii="仿宋_GB2312" w:eastAsia="仿宋_GB2312"/>
          <w:b/>
          <w:szCs w:val="32"/>
        </w:rPr>
        <w:t>六、项目支出：</w:t>
      </w:r>
      <w:r>
        <w:rPr>
          <w:rStyle w:val="6"/>
          <w:rFonts w:hint="eastAsia" w:ascii="仿宋_GB2312" w:eastAsia="仿宋_GB2312"/>
          <w:szCs w:val="32"/>
        </w:rPr>
        <w:t>指在基本支出之外为完成特定工作任务和事业发展目标所发生的支出。</w:t>
      </w:r>
    </w:p>
    <w:p>
      <w:pPr>
        <w:spacing w:line="550" w:lineRule="exact"/>
        <w:ind w:firstLine="643" w:firstLineChars="200"/>
        <w:rPr>
          <w:rStyle w:val="6"/>
          <w:rFonts w:ascii="仿宋_GB2312" w:eastAsia="仿宋_GB2312"/>
          <w:szCs w:val="32"/>
        </w:rPr>
      </w:pPr>
      <w:r>
        <w:rPr>
          <w:rStyle w:val="6"/>
          <w:rFonts w:hint="eastAsia" w:ascii="仿宋_GB2312" w:eastAsia="仿宋_GB2312"/>
          <w:b/>
          <w:szCs w:val="32"/>
        </w:rPr>
        <w:t>七、单位预留机动经费：</w:t>
      </w:r>
      <w:r>
        <w:rPr>
          <w:rStyle w:val="6"/>
          <w:rFonts w:hint="eastAsia" w:ascii="仿宋_GB2312" w:eastAsia="仿宋_GB2312"/>
          <w:szCs w:val="32"/>
        </w:rPr>
        <w:t>指预算单位年初预留用于年度执行中增人、增资等不可预见支出的经费。</w:t>
      </w:r>
    </w:p>
    <w:p>
      <w:pPr>
        <w:spacing w:line="550" w:lineRule="exact"/>
        <w:ind w:firstLine="643" w:firstLineChars="200"/>
        <w:rPr>
          <w:rStyle w:val="6"/>
          <w:rFonts w:ascii="仿宋_GB2312" w:eastAsia="仿宋_GB2312"/>
          <w:szCs w:val="32"/>
        </w:rPr>
      </w:pPr>
      <w:r>
        <w:rPr>
          <w:rStyle w:val="6"/>
          <w:rFonts w:hint="eastAsia" w:ascii="仿宋_GB2312" w:eastAsia="仿宋_GB2312"/>
          <w:b/>
          <w:szCs w:val="32"/>
        </w:rPr>
        <w:t>八、“三公”经费</w:t>
      </w:r>
      <w:r>
        <w:rPr>
          <w:rStyle w:val="6"/>
          <w:rFonts w:hint="eastAsia" w:ascii="仿宋_GB2312" w:eastAsia="仿宋_GB2312"/>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6"/>
          <w:rFonts w:ascii="仿宋_GB2312" w:eastAsia="仿宋_GB2312"/>
          <w:szCs w:val="32"/>
        </w:rPr>
      </w:pPr>
      <w:r>
        <w:rPr>
          <w:rStyle w:val="6"/>
          <w:rFonts w:hint="eastAsia" w:ascii="仿宋_GB2312" w:eastAsia="仿宋_GB2312"/>
          <w:b/>
          <w:szCs w:val="32"/>
        </w:rPr>
        <w:t>九、机关运行经费</w:t>
      </w:r>
      <w:r>
        <w:rPr>
          <w:rStyle w:val="6"/>
          <w:rFonts w:hint="eastAsia" w:ascii="仿宋_GB2312" w:eastAsia="仿宋_GB2312"/>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6"/>
          <w:rFonts w:ascii="仿宋_GB2312" w:eastAsia="仿宋_GB2312"/>
          <w:szCs w:val="32"/>
        </w:rPr>
      </w:pPr>
    </w:p>
    <w:p>
      <w:pPr>
        <w:ind w:firstLine="0"/>
        <w:rPr>
          <w:rStyle w:val="6"/>
          <w:rFonts w:ascii="仿宋_GB2312" w:eastAsia="仿宋_GB2312"/>
          <w:szCs w:val="32"/>
        </w:rPr>
      </w:pPr>
    </w:p>
    <w:sectPr>
      <w:footerReference r:id="rId3" w:type="default"/>
      <w:footerReference r:id="rId4" w:type="even"/>
      <w:pgSz w:w="11906" w:h="16838"/>
      <w:pgMar w:top="1814" w:right="1588"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仿宋_GBK">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7445854"/>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ind w:right="360"/>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6"/>
      </w:rPr>
    </w:pPr>
  </w:p>
  <w:p>
    <w:pPr>
      <w:pStyle w:val="2"/>
      <w:ind w:right="360"/>
      <w:rPr>
        <w:rStyle w:val="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4716C0"/>
    <w:multiLevelType w:val="singleLevel"/>
    <w:tmpl w:val="904716C0"/>
    <w:lvl w:ilvl="0" w:tentative="0">
      <w:start w:val="1"/>
      <w:numFmt w:val="chineseCounting"/>
      <w:suff w:val="space"/>
      <w:lvlText w:val="第%1部分"/>
      <w:lvlJc w:val="left"/>
      <w:rPr>
        <w:rFonts w:hint="eastAsia"/>
      </w:rPr>
    </w:lvl>
  </w:abstractNum>
  <w:abstractNum w:abstractNumId="1">
    <w:nsid w:val="23E69647"/>
    <w:multiLevelType w:val="singleLevel"/>
    <w:tmpl w:val="23E69647"/>
    <w:lvl w:ilvl="0" w:tentative="0">
      <w:start w:val="1"/>
      <w:numFmt w:val="chineseCounting"/>
      <w:suff w:val="nothing"/>
      <w:lvlText w:val="%1、"/>
      <w:lvlJc w:val="left"/>
      <w:rPr>
        <w:rFonts w:hint="eastAsia"/>
      </w:rPr>
    </w:lvl>
  </w:abstractNum>
  <w:abstractNum w:abstractNumId="2">
    <w:nsid w:val="45C30D5B"/>
    <w:multiLevelType w:val="multilevel"/>
    <w:tmpl w:val="45C30D5B"/>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595F4D89"/>
    <w:multiLevelType w:val="multilevel"/>
    <w:tmpl w:val="595F4D89"/>
    <w:lvl w:ilvl="0" w:tentative="0">
      <w:start w:val="1"/>
      <w:numFmt w:val="decimal"/>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19D"/>
    <w:rsid w:val="00006127"/>
    <w:rsid w:val="000207FD"/>
    <w:rsid w:val="000255BF"/>
    <w:rsid w:val="0005682B"/>
    <w:rsid w:val="000735F8"/>
    <w:rsid w:val="0009499D"/>
    <w:rsid w:val="000A0876"/>
    <w:rsid w:val="000A605C"/>
    <w:rsid w:val="000C514E"/>
    <w:rsid w:val="00116C43"/>
    <w:rsid w:val="00146E65"/>
    <w:rsid w:val="00154D90"/>
    <w:rsid w:val="00167C23"/>
    <w:rsid w:val="0017200A"/>
    <w:rsid w:val="00193769"/>
    <w:rsid w:val="001940FB"/>
    <w:rsid w:val="001A4428"/>
    <w:rsid w:val="001B2209"/>
    <w:rsid w:val="001E4BBE"/>
    <w:rsid w:val="002076A8"/>
    <w:rsid w:val="00216219"/>
    <w:rsid w:val="00222BD1"/>
    <w:rsid w:val="002245C7"/>
    <w:rsid w:val="00241D9C"/>
    <w:rsid w:val="00245100"/>
    <w:rsid w:val="00255BE3"/>
    <w:rsid w:val="00265DB5"/>
    <w:rsid w:val="00271CDB"/>
    <w:rsid w:val="002A479C"/>
    <w:rsid w:val="002E6BED"/>
    <w:rsid w:val="003216C9"/>
    <w:rsid w:val="00325C0D"/>
    <w:rsid w:val="00340A4C"/>
    <w:rsid w:val="00354388"/>
    <w:rsid w:val="003667CD"/>
    <w:rsid w:val="003B25F5"/>
    <w:rsid w:val="003C0AC5"/>
    <w:rsid w:val="003F64C9"/>
    <w:rsid w:val="00445421"/>
    <w:rsid w:val="0047763E"/>
    <w:rsid w:val="00495676"/>
    <w:rsid w:val="004A5634"/>
    <w:rsid w:val="004D7748"/>
    <w:rsid w:val="004F0BEF"/>
    <w:rsid w:val="00533F52"/>
    <w:rsid w:val="005A6AFE"/>
    <w:rsid w:val="005B3DA9"/>
    <w:rsid w:val="005C6A63"/>
    <w:rsid w:val="00660207"/>
    <w:rsid w:val="00680A0F"/>
    <w:rsid w:val="006A7653"/>
    <w:rsid w:val="006C2DFD"/>
    <w:rsid w:val="006D5FF4"/>
    <w:rsid w:val="006F4065"/>
    <w:rsid w:val="00704CD1"/>
    <w:rsid w:val="0071719D"/>
    <w:rsid w:val="007247A5"/>
    <w:rsid w:val="00897DE2"/>
    <w:rsid w:val="008B5EB3"/>
    <w:rsid w:val="008C1157"/>
    <w:rsid w:val="00917A46"/>
    <w:rsid w:val="009502AD"/>
    <w:rsid w:val="0097706F"/>
    <w:rsid w:val="00981582"/>
    <w:rsid w:val="00A33E93"/>
    <w:rsid w:val="00A92223"/>
    <w:rsid w:val="00A93E21"/>
    <w:rsid w:val="00AA2152"/>
    <w:rsid w:val="00AB01F8"/>
    <w:rsid w:val="00B15E2D"/>
    <w:rsid w:val="00B547EB"/>
    <w:rsid w:val="00BD4CC7"/>
    <w:rsid w:val="00BD5AC3"/>
    <w:rsid w:val="00BD7B44"/>
    <w:rsid w:val="00C26EB9"/>
    <w:rsid w:val="00C52BBC"/>
    <w:rsid w:val="00C641B9"/>
    <w:rsid w:val="00C86264"/>
    <w:rsid w:val="00CA5C94"/>
    <w:rsid w:val="00CF1FCE"/>
    <w:rsid w:val="00CF633F"/>
    <w:rsid w:val="00DC3EDB"/>
    <w:rsid w:val="00DE6B18"/>
    <w:rsid w:val="00E17D43"/>
    <w:rsid w:val="00E2745F"/>
    <w:rsid w:val="00E429AE"/>
    <w:rsid w:val="00E96DC3"/>
    <w:rsid w:val="00F02621"/>
    <w:rsid w:val="00F05707"/>
    <w:rsid w:val="00F15C23"/>
    <w:rsid w:val="00F21243"/>
    <w:rsid w:val="00F32136"/>
    <w:rsid w:val="00F552F9"/>
    <w:rsid w:val="00F7005D"/>
    <w:rsid w:val="00FB0EA6"/>
    <w:rsid w:val="00FC348C"/>
    <w:rsid w:val="00FD7743"/>
    <w:rsid w:val="0B5C7421"/>
    <w:rsid w:val="1A1E0D92"/>
    <w:rsid w:val="372614D3"/>
    <w:rsid w:val="41F10D37"/>
    <w:rsid w:val="55E06D2A"/>
    <w:rsid w:val="58A96E4A"/>
    <w:rsid w:val="72976746"/>
    <w:rsid w:val="7B527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qFormat/>
    <w:uiPriority w:val="99"/>
    <w:pPr>
      <w:tabs>
        <w:tab w:val="center" w:pos="4153"/>
        <w:tab w:val="right" w:pos="8306"/>
      </w:tabs>
      <w:spacing w:line="240" w:lineRule="auto"/>
      <w:ind w:firstLine="0"/>
      <w:jc w:val="left"/>
    </w:pPr>
    <w:rPr>
      <w:rFonts w:eastAsia="宋体"/>
      <w:kern w:val="2"/>
      <w:sz w:val="18"/>
      <w:szCs w:val="18"/>
    </w:rPr>
  </w:style>
  <w:style w:type="paragraph" w:styleId="3">
    <w:name w:val="header"/>
    <w:basedOn w:val="1"/>
    <w:link w:val="12"/>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6">
    <w:name w:val="NormalCharacter"/>
    <w:semiHidden/>
    <w:qFormat/>
    <w:uiPriority w:val="0"/>
  </w:style>
  <w:style w:type="table" w:customStyle="1" w:styleId="7">
    <w:name w:val="TableNormal"/>
    <w:semiHidden/>
    <w:qFormat/>
    <w:uiPriority w:val="0"/>
    <w:tblPr>
      <w:tblCellMar>
        <w:top w:w="0" w:type="dxa"/>
        <w:left w:w="0" w:type="dxa"/>
        <w:bottom w:w="0" w:type="dxa"/>
        <w:right w:w="0" w:type="dxa"/>
      </w:tblCellMar>
    </w:tblPr>
  </w:style>
  <w:style w:type="paragraph" w:customStyle="1" w:styleId="8">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9">
    <w:name w:val="UserStyle_0"/>
    <w:basedOn w:val="1"/>
    <w:next w:val="1"/>
    <w:qFormat/>
    <w:uiPriority w:val="0"/>
    <w:pPr>
      <w:spacing w:line="700" w:lineRule="atLeast"/>
      <w:ind w:firstLine="0"/>
      <w:jc w:val="center"/>
    </w:pPr>
    <w:rPr>
      <w:rFonts w:eastAsia="方正小标宋_GBK"/>
      <w:sz w:val="44"/>
    </w:rPr>
  </w:style>
  <w:style w:type="paragraph" w:customStyle="1" w:styleId="10">
    <w:name w:val="UserStyle_1"/>
    <w:basedOn w:val="1"/>
    <w:qFormat/>
    <w:uiPriority w:val="0"/>
  </w:style>
  <w:style w:type="table" w:customStyle="1" w:styleId="11">
    <w:name w:val="TableGrid"/>
    <w:basedOn w:val="7"/>
    <w:qFormat/>
    <w:uiPriority w:val="0"/>
    <w:tblPr>
      <w:tblCellMar>
        <w:top w:w="0" w:type="dxa"/>
        <w:left w:w="0" w:type="dxa"/>
        <w:bottom w:w="0" w:type="dxa"/>
        <w:right w:w="0" w:type="dxa"/>
      </w:tblCellMar>
    </w:tblPr>
  </w:style>
  <w:style w:type="character" w:customStyle="1" w:styleId="12">
    <w:name w:val="页眉 Char"/>
    <w:link w:val="3"/>
    <w:qFormat/>
    <w:uiPriority w:val="0"/>
    <w:rPr>
      <w:rFonts w:ascii="Times New Roman" w:hAnsi="Times New Roman" w:eastAsia="宋体"/>
      <w:kern w:val="2"/>
      <w:sz w:val="18"/>
      <w:szCs w:val="18"/>
    </w:rPr>
  </w:style>
  <w:style w:type="character" w:customStyle="1" w:styleId="13">
    <w:name w:val="页脚 Char"/>
    <w:link w:val="2"/>
    <w:qFormat/>
    <w:uiPriority w:val="99"/>
    <w:rPr>
      <w:rFonts w:ascii="Times New Roman" w:hAnsi="Times New Roman" w:eastAsia="宋体"/>
      <w:kern w:val="2"/>
      <w:sz w:val="18"/>
      <w:szCs w:val="18"/>
    </w:rPr>
  </w:style>
  <w:style w:type="paragraph" w:customStyle="1" w:styleId="14">
    <w:name w:val="Acetate"/>
    <w:basedOn w:val="1"/>
    <w:link w:val="15"/>
    <w:semiHidden/>
    <w:qFormat/>
    <w:uiPriority w:val="0"/>
    <w:pPr>
      <w:spacing w:line="240" w:lineRule="auto"/>
      <w:ind w:firstLine="0"/>
    </w:pPr>
    <w:rPr>
      <w:rFonts w:eastAsia="宋体"/>
      <w:kern w:val="2"/>
      <w:sz w:val="18"/>
      <w:szCs w:val="18"/>
    </w:rPr>
  </w:style>
  <w:style w:type="character" w:customStyle="1" w:styleId="15">
    <w:name w:val="UserStyle_5"/>
    <w:link w:val="14"/>
    <w:semiHidden/>
    <w:qFormat/>
    <w:uiPriority w:val="0"/>
    <w:rPr>
      <w:rFonts w:ascii="Times New Roman" w:hAnsi="Times New Roman" w:eastAsia="宋体"/>
      <w:kern w:val="2"/>
      <w:sz w:val="18"/>
      <w:szCs w:val="18"/>
    </w:rPr>
  </w:style>
  <w:style w:type="character" w:customStyle="1" w:styleId="16">
    <w:name w:val="PageNumber"/>
    <w:basedOn w:val="6"/>
    <w:qFormat/>
    <w:uiPriority w:val="0"/>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424</Words>
  <Characters>2420</Characters>
  <Lines>20</Lines>
  <Paragraphs>5</Paragraphs>
  <TotalTime>1</TotalTime>
  <ScaleCrop>false</ScaleCrop>
  <LinksUpToDate>false</LinksUpToDate>
  <CharactersWithSpaces>2839</CharactersWithSpaces>
  <Application>WPS Office_11.1.0.9748_F1E327BC-269C-435d-A152-05C5408002CA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Administrator</cp:lastModifiedBy>
  <cp:lastPrinted>2021-05-30T01:06:00Z</cp:lastPrinted>
  <dcterms:modified xsi:type="dcterms:W3CDTF">2020-05-29T10:16:44Z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2052-11.1.0.9748</vt:lpwstr>
  </property>
  <property fmtid="{D5CDD505-2E9C-101B-9397-08002B2CF9AE}" pid="3" name="ICV">
    <vt:lpwstr>17A9E7B9871C4DBEB54A3B8A7A258CA9</vt:lpwstr>
  </property>
</Properties>
</file>