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rPr>
          <w:rStyle w:val="7"/>
          <w:rFonts w:hint="eastAsia" w:asciiTheme="majorEastAsia" w:hAnsiTheme="majorEastAsia" w:eastAsiaTheme="majorEastAsia"/>
          <w:b/>
          <w:sz w:val="44"/>
          <w:szCs w:val="44"/>
          <w:lang w:val="en-US" w:eastAsia="zh-CN"/>
        </w:rPr>
      </w:pPr>
      <w:bookmarkStart w:id="0" w:name="_GoBack"/>
      <w:bookmarkEnd w:id="0"/>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p>
    <w:p>
      <w:pPr>
        <w:ind w:firstLine="0"/>
        <w:jc w:val="center"/>
        <w:rPr>
          <w:rStyle w:val="7"/>
          <w:rFonts w:hint="eastAsia" w:asciiTheme="majorEastAsia" w:hAnsiTheme="majorEastAsia" w:eastAsiaTheme="majorEastAsia"/>
          <w:b/>
          <w:sz w:val="44"/>
          <w:szCs w:val="44"/>
          <w:lang w:val="en-US" w:eastAsia="zh-CN"/>
        </w:rPr>
      </w:pPr>
      <w:r>
        <w:rPr>
          <w:rStyle w:val="7"/>
          <w:rFonts w:hint="eastAsia" w:asciiTheme="majorEastAsia" w:hAnsiTheme="majorEastAsia" w:eastAsiaTheme="majorEastAsia"/>
          <w:b/>
          <w:sz w:val="44"/>
          <w:szCs w:val="44"/>
          <w:lang w:val="en-US" w:eastAsia="zh-CN"/>
        </w:rPr>
        <w:t>黎城县商务中心</w:t>
      </w:r>
    </w:p>
    <w:p>
      <w:pPr>
        <w:ind w:firstLine="0"/>
        <w:jc w:val="center"/>
        <w:rPr>
          <w:rStyle w:val="7"/>
          <w:rFonts w:hint="eastAsia" w:asciiTheme="majorEastAsia" w:hAnsiTheme="majorEastAsia" w:eastAsiaTheme="majorEastAsia"/>
          <w:b/>
          <w:sz w:val="44"/>
          <w:szCs w:val="44"/>
        </w:rPr>
      </w:pPr>
      <w:r>
        <w:rPr>
          <w:rStyle w:val="7"/>
          <w:rFonts w:hint="eastAsia" w:asciiTheme="majorEastAsia" w:hAnsiTheme="majorEastAsia" w:eastAsiaTheme="majorEastAsia"/>
          <w:b/>
          <w:sz w:val="44"/>
          <w:szCs w:val="44"/>
          <w:lang w:val="en-US" w:eastAsia="zh-CN"/>
        </w:rPr>
        <w:t>2020</w:t>
      </w:r>
      <w:r>
        <w:rPr>
          <w:rStyle w:val="7"/>
          <w:rFonts w:hint="eastAsia" w:asciiTheme="majorEastAsia" w:hAnsiTheme="majorEastAsia" w:eastAsiaTheme="majorEastAsia"/>
          <w:b/>
          <w:sz w:val="44"/>
          <w:szCs w:val="44"/>
        </w:rPr>
        <w:t>年度</w:t>
      </w:r>
      <w:r>
        <w:rPr>
          <w:rStyle w:val="7"/>
          <w:rFonts w:hint="eastAsia" w:asciiTheme="majorEastAsia" w:hAnsiTheme="majorEastAsia" w:eastAsiaTheme="majorEastAsia"/>
          <w:b/>
          <w:sz w:val="44"/>
          <w:szCs w:val="44"/>
          <w:lang w:val="en-US" w:eastAsia="zh-CN"/>
        </w:rPr>
        <w:t>部门</w:t>
      </w:r>
      <w:r>
        <w:rPr>
          <w:rStyle w:val="7"/>
          <w:rFonts w:hint="eastAsia" w:asciiTheme="majorEastAsia" w:hAnsiTheme="majorEastAsia" w:eastAsiaTheme="majorEastAsia"/>
          <w:b/>
          <w:sz w:val="44"/>
          <w:szCs w:val="44"/>
        </w:rPr>
        <w:t>预算公开说明</w:t>
      </w: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hint="eastAsia" w:ascii="仿宋" w:hAnsi="仿宋" w:eastAsia="仿宋" w:cs="仿宋"/>
          <w:sz w:val="32"/>
          <w:szCs w:val="32"/>
        </w:rPr>
      </w:pPr>
    </w:p>
    <w:p>
      <w:pPr>
        <w:spacing w:line="580" w:lineRule="exact"/>
        <w:ind w:firstLine="0"/>
        <w:jc w:val="center"/>
        <w:rPr>
          <w:rFonts w:eastAsia="方正小标宋_GBK"/>
          <w:sz w:val="44"/>
          <w:szCs w:val="44"/>
          <w:u w:val="none"/>
        </w:rPr>
      </w:pPr>
      <w:r>
        <w:rPr>
          <w:rFonts w:eastAsia="方正小标宋_GBK"/>
          <w:sz w:val="44"/>
          <w:szCs w:val="44"/>
          <w:u w:val="none"/>
        </w:rPr>
        <w:t>目  录</w:t>
      </w:r>
    </w:p>
    <w:p>
      <w:pPr>
        <w:spacing w:line="400" w:lineRule="exact"/>
        <w:ind w:firstLine="0"/>
        <w:rPr>
          <w:rFonts w:eastAsia="方正黑体_GBK"/>
          <w:szCs w:val="32"/>
          <w:u w:val="none"/>
        </w:rPr>
      </w:pPr>
    </w:p>
    <w:p>
      <w:pPr>
        <w:spacing w:line="540" w:lineRule="exact"/>
        <w:ind w:firstLine="0"/>
        <w:rPr>
          <w:rFonts w:eastAsia="方正黑体_GBK"/>
          <w:szCs w:val="32"/>
          <w:u w:val="none"/>
        </w:rPr>
      </w:pPr>
      <w:r>
        <w:rPr>
          <w:rFonts w:eastAsia="方正黑体_GBK"/>
          <w:szCs w:val="32"/>
          <w:u w:val="none"/>
        </w:rPr>
        <w:t>第一部分 部门概况</w:t>
      </w:r>
    </w:p>
    <w:p>
      <w:pPr>
        <w:spacing w:line="540" w:lineRule="exact"/>
        <w:ind w:firstLine="0"/>
        <w:rPr>
          <w:szCs w:val="32"/>
          <w:u w:val="none"/>
        </w:rPr>
      </w:pPr>
      <w:r>
        <w:rPr>
          <w:szCs w:val="32"/>
          <w:u w:val="none"/>
        </w:rPr>
        <w:t>一、主要职能</w:t>
      </w:r>
    </w:p>
    <w:p>
      <w:pPr>
        <w:spacing w:line="540" w:lineRule="exact"/>
        <w:ind w:firstLine="0"/>
        <w:rPr>
          <w:szCs w:val="32"/>
          <w:u w:val="none"/>
        </w:rPr>
      </w:pPr>
      <w:r>
        <w:rPr>
          <w:szCs w:val="32"/>
          <w:u w:val="none"/>
        </w:rPr>
        <w:t>二、部门机构设置及预算单位构成情况</w:t>
      </w:r>
    </w:p>
    <w:p>
      <w:pPr>
        <w:spacing w:line="540" w:lineRule="exact"/>
        <w:ind w:firstLine="0"/>
        <w:rPr>
          <w:szCs w:val="32"/>
          <w:u w:val="none"/>
        </w:rPr>
      </w:pPr>
      <w:r>
        <w:rPr>
          <w:szCs w:val="32"/>
          <w:u w:val="none"/>
        </w:rPr>
        <w:t>三、</w:t>
      </w:r>
      <w:r>
        <w:rPr>
          <w:rFonts w:hint="eastAsia"/>
          <w:szCs w:val="32"/>
          <w:u w:val="none"/>
          <w:lang w:eastAsia="zh-CN"/>
        </w:rPr>
        <w:t>20</w:t>
      </w:r>
      <w:r>
        <w:rPr>
          <w:rFonts w:hint="eastAsia"/>
          <w:szCs w:val="32"/>
          <w:u w:val="none"/>
          <w:lang w:val="en-US" w:eastAsia="zh-CN"/>
        </w:rPr>
        <w:t>20</w:t>
      </w:r>
      <w:r>
        <w:rPr>
          <w:szCs w:val="32"/>
          <w:u w:val="none"/>
        </w:rPr>
        <w:t>年度部门主要工作任务及目标</w:t>
      </w:r>
    </w:p>
    <w:p>
      <w:pPr>
        <w:spacing w:line="540" w:lineRule="exact"/>
        <w:ind w:firstLine="0"/>
        <w:rPr>
          <w:rFonts w:hint="eastAsia" w:eastAsia="方正黑体_GBK"/>
          <w:szCs w:val="32"/>
          <w:u w:val="none"/>
          <w:lang w:eastAsia="zh-CN"/>
        </w:rPr>
      </w:pPr>
      <w:r>
        <w:rPr>
          <w:rFonts w:eastAsia="方正黑体_GBK"/>
          <w:szCs w:val="32"/>
          <w:u w:val="none"/>
        </w:rPr>
        <w:t>第二部分</w:t>
      </w:r>
      <w:r>
        <w:rPr>
          <w:rFonts w:hint="eastAsia" w:eastAsia="方正黑体_GBK"/>
          <w:szCs w:val="32"/>
          <w:u w:val="none"/>
        </w:rPr>
        <w:t xml:space="preserve"> </w:t>
      </w:r>
      <w:r>
        <w:rPr>
          <w:rFonts w:hint="eastAsia" w:eastAsia="方正黑体_GBK"/>
          <w:szCs w:val="32"/>
          <w:u w:val="none"/>
          <w:lang w:eastAsia="zh-CN"/>
        </w:rPr>
        <w:t>20</w:t>
      </w:r>
      <w:r>
        <w:rPr>
          <w:rFonts w:hint="eastAsia" w:eastAsia="方正黑体_GBK"/>
          <w:szCs w:val="32"/>
          <w:u w:val="none"/>
          <w:lang w:val="en-US" w:eastAsia="zh-CN"/>
        </w:rPr>
        <w:t>20</w:t>
      </w:r>
      <w:r>
        <w:rPr>
          <w:rFonts w:eastAsia="方正黑体_GBK"/>
          <w:szCs w:val="32"/>
          <w:u w:val="none"/>
        </w:rPr>
        <w:t>年度部门预算表</w:t>
      </w:r>
      <w:r>
        <w:rPr>
          <w:rFonts w:hint="eastAsia" w:eastAsia="方正黑体_GBK"/>
          <w:szCs w:val="32"/>
          <w:u w:val="none"/>
          <w:lang w:eastAsia="zh-CN"/>
        </w:rPr>
        <w:t>（</w:t>
      </w:r>
      <w:r>
        <w:rPr>
          <w:rFonts w:hint="eastAsia" w:eastAsia="方正黑体_GBK"/>
          <w:szCs w:val="32"/>
          <w:u w:val="none"/>
          <w:lang w:val="en-US" w:eastAsia="zh-CN"/>
        </w:rPr>
        <w:t>略，详见附表</w:t>
      </w:r>
      <w:r>
        <w:rPr>
          <w:rFonts w:hint="eastAsia" w:eastAsia="方正黑体_GBK"/>
          <w:szCs w:val="32"/>
          <w:u w:val="none"/>
          <w:lang w:eastAsia="zh-CN"/>
        </w:rPr>
        <w:t>）</w:t>
      </w:r>
    </w:p>
    <w:p>
      <w:pPr>
        <w:spacing w:line="540" w:lineRule="exact"/>
        <w:ind w:firstLine="0"/>
        <w:rPr>
          <w:rFonts w:eastAsia="方正黑体_GBK"/>
          <w:szCs w:val="32"/>
          <w:u w:val="none"/>
        </w:rPr>
      </w:pPr>
      <w:r>
        <w:rPr>
          <w:rFonts w:eastAsia="方正黑体_GBK"/>
          <w:szCs w:val="32"/>
          <w:u w:val="none"/>
        </w:rPr>
        <w:t xml:space="preserve">第三部分 </w:t>
      </w:r>
      <w:r>
        <w:rPr>
          <w:rFonts w:hint="eastAsia" w:eastAsia="方正黑体_GBK"/>
          <w:szCs w:val="32"/>
          <w:u w:val="none"/>
          <w:lang w:eastAsia="zh-CN"/>
        </w:rPr>
        <w:t>20</w:t>
      </w:r>
      <w:r>
        <w:rPr>
          <w:rFonts w:hint="eastAsia" w:eastAsia="方正黑体_GBK"/>
          <w:szCs w:val="32"/>
          <w:u w:val="none"/>
          <w:lang w:val="en-US" w:eastAsia="zh-CN"/>
        </w:rPr>
        <w:t>20</w:t>
      </w:r>
      <w:r>
        <w:rPr>
          <w:rFonts w:eastAsia="方正黑体_GBK"/>
          <w:szCs w:val="32"/>
          <w:u w:val="none"/>
        </w:rPr>
        <w:t>年度部门预算情况说明</w:t>
      </w:r>
    </w:p>
    <w:p>
      <w:pPr>
        <w:spacing w:line="540" w:lineRule="exact"/>
        <w:ind w:firstLine="0"/>
        <w:rPr>
          <w:rFonts w:eastAsia="方正小标宋_GBK"/>
          <w:sz w:val="36"/>
          <w:szCs w:val="36"/>
          <w:u w:val="none"/>
        </w:rPr>
      </w:pPr>
      <w:r>
        <w:rPr>
          <w:rFonts w:eastAsia="方正黑体_GBK"/>
          <w:szCs w:val="32"/>
          <w:u w:val="none"/>
        </w:rPr>
        <w:t>第四部分 名词解释</w:t>
      </w:r>
    </w:p>
    <w:p>
      <w:pPr>
        <w:spacing w:before="100" w:beforeAutospacing="1" w:after="100" w:afterAutospacing="1" w:line="550" w:lineRule="exact"/>
        <w:ind w:firstLine="0"/>
        <w:jc w:val="center"/>
        <w:rPr>
          <w:rFonts w:hint="eastAsia" w:ascii="仿宋" w:hAnsi="仿宋" w:eastAsia="仿宋" w:cs="仿宋"/>
          <w:sz w:val="36"/>
          <w:szCs w:val="36"/>
        </w:rPr>
      </w:pPr>
    </w:p>
    <w:p>
      <w:pPr>
        <w:spacing w:before="100" w:beforeAutospacing="1" w:after="100" w:afterAutospacing="1" w:line="550" w:lineRule="exact"/>
        <w:ind w:firstLine="0"/>
        <w:jc w:val="center"/>
        <w:rPr>
          <w:rFonts w:hint="eastAsia" w:ascii="仿宋" w:hAnsi="仿宋" w:eastAsia="仿宋" w:cs="仿宋"/>
          <w:sz w:val="36"/>
          <w:szCs w:val="36"/>
        </w:rPr>
      </w:pPr>
    </w:p>
    <w:p>
      <w:pPr>
        <w:spacing w:before="100" w:beforeAutospacing="1" w:after="100" w:afterAutospacing="1" w:line="550" w:lineRule="exact"/>
        <w:ind w:firstLine="0"/>
        <w:jc w:val="center"/>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pStyle w:val="2"/>
        <w:rPr>
          <w:rFonts w:hint="eastAsia" w:ascii="仿宋" w:hAnsi="仿宋" w:eastAsia="仿宋" w:cs="仿宋"/>
          <w:sz w:val="36"/>
          <w:szCs w:val="36"/>
        </w:rPr>
      </w:pPr>
    </w:p>
    <w:p>
      <w:pPr>
        <w:ind w:firstLine="0"/>
        <w:jc w:val="center"/>
        <w:rPr>
          <w:rStyle w:val="7"/>
          <w:rFonts w:hint="eastAsia" w:ascii="仿宋_GB2312" w:hAnsi="黑体" w:eastAsia="仿宋_GB2312"/>
          <w:b/>
        </w:rPr>
      </w:pPr>
    </w:p>
    <w:p>
      <w:pPr>
        <w:ind w:firstLine="0"/>
        <w:jc w:val="center"/>
        <w:rPr>
          <w:rStyle w:val="7"/>
          <w:rFonts w:hint="eastAsia" w:ascii="仿宋_GB2312" w:hAnsi="黑体" w:eastAsia="仿宋_GB2312"/>
          <w:b/>
        </w:rPr>
      </w:pPr>
      <w:r>
        <w:rPr>
          <w:rStyle w:val="7"/>
          <w:rFonts w:hint="eastAsia" w:ascii="仿宋_GB2312" w:hAnsi="黑体" w:eastAsia="仿宋_GB2312"/>
          <w:b/>
        </w:rPr>
        <w:t>第一部分  部门概况</w:t>
      </w:r>
    </w:p>
    <w:p>
      <w:pPr>
        <w:ind w:firstLine="643" w:firstLineChars="200"/>
        <w:rPr>
          <w:rStyle w:val="7"/>
          <w:rFonts w:hint="eastAsia" w:ascii="仿宋_GB2312" w:eastAsia="仿宋_GB2312"/>
          <w:b/>
        </w:rPr>
      </w:pPr>
      <w:r>
        <w:rPr>
          <w:rStyle w:val="7"/>
          <w:rFonts w:hint="eastAsia" w:ascii="仿宋_GB2312" w:eastAsia="仿宋_GB2312"/>
          <w:b/>
        </w:rPr>
        <w:t>一、主要职能</w:t>
      </w:r>
    </w:p>
    <w:p>
      <w:pPr>
        <w:numPr>
          <w:ilvl w:val="0"/>
          <w:numId w:val="1"/>
        </w:numPr>
        <w:autoSpaceDE/>
        <w:autoSpaceDN/>
        <w:snapToGrid/>
        <w:spacing w:line="550" w:lineRule="exact"/>
        <w:ind w:leftChars="0" w:firstLine="640"/>
        <w:rPr>
          <w:rFonts w:hint="eastAsia" w:ascii="仿宋" w:hAnsi="仿宋" w:eastAsia="仿宋" w:cs="仿宋"/>
          <w:sz w:val="32"/>
          <w:szCs w:val="32"/>
        </w:rPr>
      </w:pPr>
      <w:r>
        <w:rPr>
          <w:rFonts w:hint="eastAsia" w:ascii="仿宋" w:hAnsi="仿宋" w:eastAsia="仿宋" w:cs="仿宋"/>
          <w:sz w:val="32"/>
          <w:szCs w:val="32"/>
        </w:rPr>
        <w:t>委托执行国家国内外贸易的发展战略、方针、政策；拟订全县商务工作发展规划、年度计划并组织实施；</w:t>
      </w:r>
    </w:p>
    <w:p>
      <w:pPr>
        <w:numPr>
          <w:ilvl w:val="0"/>
          <w:numId w:val="0"/>
        </w:numPr>
        <w:autoSpaceDE/>
        <w:autoSpaceDN/>
        <w:snapToGrid/>
        <w:spacing w:line="550" w:lineRule="exac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（二）贯彻执行流通体制改革的方针政策，培育发展城乡市场，推进流通产业结构调整和连锁经营、物流配送、电子商务等现代流通方式；</w:t>
      </w:r>
    </w:p>
    <w:p>
      <w:pPr>
        <w:numPr>
          <w:ilvl w:val="0"/>
          <w:numId w:val="0"/>
        </w:numPr>
        <w:autoSpaceDE/>
        <w:autoSpaceDN/>
        <w:snapToGrid/>
        <w:spacing w:line="550" w:lineRule="exact"/>
        <w:ind w:leftChars="0"/>
        <w:rPr>
          <w:rFonts w:hint="eastAsia" w:ascii="仿宋" w:hAnsi="仿宋" w:eastAsia="仿宋" w:cs="仿宋"/>
          <w:sz w:val="32"/>
          <w:szCs w:val="32"/>
        </w:rPr>
      </w:pPr>
      <w:r>
        <w:rPr>
          <w:rFonts w:hint="eastAsia" w:ascii="仿宋" w:hAnsi="仿宋" w:eastAsia="仿宋" w:cs="仿宋"/>
          <w:sz w:val="32"/>
          <w:szCs w:val="32"/>
          <w:lang w:val="en-US" w:eastAsia="zh-CN"/>
        </w:rPr>
        <w:t xml:space="preserve">   （三）</w:t>
      </w:r>
      <w:r>
        <w:rPr>
          <w:rFonts w:hint="eastAsia" w:ascii="仿宋" w:hAnsi="仿宋" w:eastAsia="仿宋" w:cs="仿宋"/>
          <w:sz w:val="32"/>
          <w:szCs w:val="32"/>
        </w:rPr>
        <w:t>贯彻落实规范市场运行、流通秩序和打破市场垄断、地区封锁的政策措施，建立健全统一、开放、竞争、有序的市场体系，监测分析市场运行和商品供求状况，负责重要消费品市场的调控和重要生产资料的流通管理；</w:t>
      </w:r>
    </w:p>
    <w:p>
      <w:pPr>
        <w:numPr>
          <w:ilvl w:val="0"/>
          <w:numId w:val="0"/>
        </w:numPr>
        <w:autoSpaceDE/>
        <w:autoSpaceDN/>
        <w:snapToGrid/>
        <w:spacing w:line="550" w:lineRule="exact"/>
        <w:ind w:leftChars="0"/>
        <w:rPr>
          <w:rFonts w:hint="eastAsia" w:ascii="仿宋" w:hAnsi="仿宋" w:eastAsia="仿宋" w:cs="仿宋"/>
          <w:sz w:val="32"/>
          <w:szCs w:val="32"/>
        </w:rPr>
      </w:pPr>
      <w:r>
        <w:rPr>
          <w:rFonts w:hint="eastAsia" w:ascii="仿宋" w:hAnsi="仿宋" w:eastAsia="仿宋" w:cs="仿宋"/>
          <w:sz w:val="32"/>
          <w:szCs w:val="32"/>
          <w:lang w:val="en-US" w:eastAsia="zh-CN"/>
        </w:rPr>
        <w:t xml:space="preserve">   （四）</w:t>
      </w:r>
      <w:r>
        <w:rPr>
          <w:rFonts w:hint="eastAsia" w:ascii="仿宋" w:hAnsi="仿宋" w:eastAsia="仿宋" w:cs="仿宋"/>
          <w:sz w:val="32"/>
          <w:szCs w:val="32"/>
        </w:rPr>
        <w:t>承担对全县商贸流通业及相关服务业监督管理工作；</w:t>
      </w:r>
    </w:p>
    <w:p>
      <w:pPr>
        <w:numPr>
          <w:ilvl w:val="0"/>
          <w:numId w:val="0"/>
        </w:numPr>
        <w:autoSpaceDE/>
        <w:autoSpaceDN/>
        <w:snapToGrid/>
        <w:spacing w:line="550" w:lineRule="exact"/>
        <w:ind w:leftChars="0"/>
        <w:rPr>
          <w:rFonts w:hint="eastAsia" w:ascii="仿宋" w:hAnsi="仿宋" w:eastAsia="仿宋" w:cs="仿宋"/>
          <w:sz w:val="32"/>
          <w:szCs w:val="32"/>
        </w:rPr>
      </w:pPr>
      <w:r>
        <w:rPr>
          <w:rFonts w:hint="eastAsia" w:ascii="仿宋" w:hAnsi="仿宋" w:eastAsia="仿宋" w:cs="仿宋"/>
          <w:sz w:val="32"/>
          <w:szCs w:val="32"/>
          <w:lang w:val="en-US" w:eastAsia="zh-CN"/>
        </w:rPr>
        <w:t xml:space="preserve">   （五）</w:t>
      </w:r>
      <w:r>
        <w:rPr>
          <w:rFonts w:hint="eastAsia" w:ascii="仿宋" w:hAnsi="仿宋" w:eastAsia="仿宋" w:cs="仿宋"/>
          <w:sz w:val="32"/>
          <w:szCs w:val="32"/>
        </w:rPr>
        <w:t>负责全县成品油经营监督管理和违法经营行为依法查处工作；负责商品交易会、展销会以及博览会的组织工作；</w:t>
      </w:r>
    </w:p>
    <w:p>
      <w:pPr>
        <w:numPr>
          <w:ilvl w:val="0"/>
          <w:numId w:val="0"/>
        </w:numPr>
        <w:autoSpaceDE/>
        <w:autoSpaceDN/>
        <w:snapToGrid/>
        <w:spacing w:line="550" w:lineRule="exact"/>
        <w:rPr>
          <w:rFonts w:hint="eastAsia" w:ascii="仿宋" w:hAnsi="仿宋" w:eastAsia="仿宋" w:cs="仿宋"/>
          <w:sz w:val="32"/>
          <w:szCs w:val="32"/>
        </w:rPr>
      </w:pPr>
      <w:r>
        <w:rPr>
          <w:rFonts w:hint="eastAsia" w:ascii="仿宋" w:hAnsi="仿宋" w:eastAsia="仿宋" w:cs="仿宋"/>
          <w:sz w:val="32"/>
          <w:szCs w:val="32"/>
          <w:lang w:val="en-US" w:eastAsia="zh-CN"/>
        </w:rPr>
        <w:t xml:space="preserve">   （六）</w:t>
      </w:r>
      <w:r>
        <w:rPr>
          <w:rFonts w:hint="eastAsia" w:ascii="仿宋" w:hAnsi="仿宋" w:eastAsia="仿宋" w:cs="仿宋"/>
          <w:sz w:val="32"/>
          <w:szCs w:val="32"/>
        </w:rPr>
        <w:t>组织实施全县外贸发展规划；负责全县各类外经贸企业设立的转报工作，申报县内企业的对外经营权，组织、指导外贸企业开展进出口业务并监督管理工作；负责协调落实各级政府有关鼓励外贸出口的一系列政策项目资金的申报工作；</w:t>
      </w:r>
    </w:p>
    <w:p>
      <w:pPr>
        <w:numPr>
          <w:ilvl w:val="0"/>
          <w:numId w:val="0"/>
        </w:numPr>
        <w:autoSpaceDE/>
        <w:autoSpaceDN/>
        <w:snapToGrid/>
        <w:spacing w:line="550" w:lineRule="exact"/>
        <w:rPr>
          <w:rFonts w:hint="eastAsia" w:ascii="仿宋" w:hAnsi="仿宋" w:eastAsia="仿宋" w:cs="仿宋"/>
          <w:sz w:val="32"/>
          <w:szCs w:val="32"/>
        </w:rPr>
      </w:pPr>
      <w:r>
        <w:rPr>
          <w:rFonts w:hint="eastAsia" w:ascii="仿宋" w:hAnsi="仿宋" w:eastAsia="仿宋" w:cs="仿宋"/>
          <w:sz w:val="32"/>
          <w:szCs w:val="32"/>
          <w:lang w:val="en-US" w:eastAsia="zh-CN"/>
        </w:rPr>
        <w:t xml:space="preserve">   （七）</w:t>
      </w:r>
      <w:r>
        <w:rPr>
          <w:rFonts w:hint="eastAsia" w:ascii="仿宋" w:hAnsi="仿宋" w:eastAsia="仿宋" w:cs="仿宋"/>
          <w:sz w:val="32"/>
          <w:szCs w:val="32"/>
        </w:rPr>
        <w:t>配合有关部门监督检查商贸流通企业安全工作，督促重点企业建立健全安全管理制度，制定应急预案，落实防范措施，消除事故隐患。</w:t>
      </w:r>
    </w:p>
    <w:p>
      <w:pPr>
        <w:numPr>
          <w:ilvl w:val="0"/>
          <w:numId w:val="0"/>
        </w:numPr>
        <w:autoSpaceDE/>
        <w:autoSpaceDN/>
        <w:snapToGrid/>
        <w:spacing w:line="550" w:lineRule="exact"/>
        <w:ind w:leftChars="0"/>
        <w:rPr>
          <w:rFonts w:hint="eastAsia" w:ascii="仿宋" w:hAnsi="仿宋" w:eastAsia="仿宋" w:cs="仿宋"/>
          <w:sz w:val="32"/>
          <w:szCs w:val="32"/>
        </w:rPr>
      </w:pPr>
      <w:r>
        <w:rPr>
          <w:rFonts w:hint="eastAsia" w:ascii="仿宋" w:hAnsi="仿宋" w:eastAsia="仿宋" w:cs="仿宋"/>
          <w:sz w:val="32"/>
          <w:szCs w:val="32"/>
          <w:lang w:val="en-US" w:eastAsia="zh-CN"/>
        </w:rPr>
        <w:t xml:space="preserve">    （八）</w:t>
      </w:r>
      <w:r>
        <w:rPr>
          <w:rFonts w:hint="eastAsia" w:ascii="仿宋" w:hAnsi="仿宋" w:eastAsia="仿宋" w:cs="仿宋"/>
          <w:sz w:val="32"/>
          <w:szCs w:val="32"/>
        </w:rPr>
        <w:t>承办县人民政府和上级业务部门交办的其它事宜</w:t>
      </w:r>
      <w:r>
        <w:rPr>
          <w:rFonts w:hint="eastAsia" w:ascii="仿宋" w:hAnsi="仿宋" w:eastAsia="仿宋" w:cs="仿宋"/>
          <w:sz w:val="32"/>
          <w:szCs w:val="32"/>
          <w:lang w:eastAsia="zh-CN"/>
        </w:rPr>
        <w:t>。</w:t>
      </w:r>
    </w:p>
    <w:p>
      <w:pPr>
        <w:ind w:firstLine="643" w:firstLineChars="200"/>
        <w:rPr>
          <w:rStyle w:val="7"/>
          <w:rFonts w:hint="eastAsia" w:ascii="仿宋_GB2312" w:eastAsia="仿宋_GB2312"/>
          <w:b/>
        </w:rPr>
      </w:pPr>
      <w:r>
        <w:rPr>
          <w:rStyle w:val="7"/>
          <w:rFonts w:hint="eastAsia" w:ascii="仿宋_GB2312" w:eastAsia="仿宋_GB2312"/>
          <w:b/>
        </w:rPr>
        <w:t>二、部门机构设置情况</w:t>
      </w:r>
    </w:p>
    <w:p>
      <w:pPr>
        <w:numPr>
          <w:ilvl w:val="0"/>
          <w:numId w:val="0"/>
        </w:numPr>
        <w:autoSpaceDE/>
        <w:autoSpaceDN/>
        <w:snapToGrid/>
        <w:spacing w:line="550" w:lineRule="exact"/>
        <w:ind w:leftChars="0"/>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根据部门职责分工，本部门内设机构包括公室、计财股、市场秩序股、商贸流通股。黎城县商务中心编制13人，均为全额事业编制，实有人员10人。</w:t>
      </w:r>
    </w:p>
    <w:p>
      <w:pPr>
        <w:spacing w:line="550" w:lineRule="exact"/>
        <w:ind w:firstLine="608" w:firstLineChars="200"/>
        <w:rPr>
          <w:rFonts w:hint="eastAsia" w:ascii="仿宋" w:hAnsi="仿宋" w:eastAsia="仿宋" w:cs="仿宋"/>
          <w:i/>
          <w:spacing w:val="-8"/>
          <w:sz w:val="32"/>
          <w:szCs w:val="32"/>
        </w:rPr>
      </w:pPr>
      <w:r>
        <w:rPr>
          <w:rFonts w:hint="eastAsia" w:ascii="仿宋" w:hAnsi="仿宋" w:eastAsia="仿宋" w:cs="仿宋"/>
          <w:i w:val="0"/>
          <w:iCs/>
          <w:spacing w:val="-8"/>
          <w:sz w:val="32"/>
          <w:szCs w:val="32"/>
        </w:rPr>
        <w:t>注：本部门无下属单位</w:t>
      </w:r>
      <w:r>
        <w:rPr>
          <w:rFonts w:hint="eastAsia" w:ascii="仿宋" w:hAnsi="仿宋" w:eastAsia="仿宋" w:cs="仿宋"/>
          <w:i w:val="0"/>
          <w:iCs/>
          <w:spacing w:val="-8"/>
          <w:sz w:val="32"/>
          <w:szCs w:val="32"/>
          <w:lang w:eastAsia="zh-CN"/>
        </w:rPr>
        <w:t>。</w:t>
      </w:r>
      <w:r>
        <w:rPr>
          <w:rFonts w:hint="eastAsia" w:ascii="仿宋" w:hAnsi="仿宋" w:eastAsia="仿宋" w:cs="仿宋"/>
          <w:i/>
          <w:spacing w:val="-8"/>
          <w:sz w:val="32"/>
          <w:szCs w:val="32"/>
        </w:rPr>
        <w:t xml:space="preserve"> </w:t>
      </w:r>
    </w:p>
    <w:p>
      <w:pPr>
        <w:autoSpaceDE/>
        <w:autoSpaceDN/>
        <w:snapToGrid/>
        <w:spacing w:line="550" w:lineRule="exact"/>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三、20</w:t>
      </w:r>
      <w:r>
        <w:rPr>
          <w:rFonts w:hint="eastAsia" w:ascii="仿宋" w:hAnsi="仿宋" w:eastAsia="仿宋" w:cs="仿宋"/>
          <w:b/>
          <w:bCs/>
          <w:sz w:val="32"/>
          <w:szCs w:val="32"/>
          <w:lang w:val="en-US" w:eastAsia="zh-CN"/>
        </w:rPr>
        <w:t>20</w:t>
      </w:r>
      <w:r>
        <w:rPr>
          <w:rFonts w:hint="eastAsia" w:ascii="仿宋" w:hAnsi="仿宋" w:eastAsia="仿宋" w:cs="仿宋"/>
          <w:b/>
          <w:bCs/>
          <w:sz w:val="32"/>
          <w:szCs w:val="32"/>
        </w:rPr>
        <w:t>年部门主要工作任务及目标</w:t>
      </w:r>
    </w:p>
    <w:p>
      <w:pPr>
        <w:numPr>
          <w:ilvl w:val="0"/>
          <w:numId w:val="0"/>
        </w:numPr>
        <w:autoSpaceDE/>
        <w:autoSpaceDN/>
        <w:snapToGrid/>
        <w:spacing w:line="550"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（一）工作开展情况</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资金鼓励、助力企业为克服疫情笼罩下企业销售低迷的不利影响，帮助企业渡过难关，市局对我县2020年新入库的两家限额以上企业各奖励2万元；2020年以前入库的六家企业各奖励0.5万元。我中心又主动为我县九家限额以上商贸企业申请县级资金4.8万元，予以一次性奖励。针对疫情冲击企业国际物流等费用直线上升,为降低企业出口物流成本,支持企业开拓国际市场，积极组织企业申报开放专项资金项目,对我县企业出口货物国内运费港口仓储费和管理认证费给予补贴。给予山西伊思迈镁业有限公司专项项目补贴资金11.24万元,其中县级财政扶持资金5万元。落实提升企业国际化经营能力项目申报工作，为黎城利民农林综合开发有限公司申请土耳其世界食品及加工技术博览会、德国科隆国际食品展项目补贴17.28万元。</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2、促销活动、刺激消费为克服疫情影响，进一步发挥消费对经济增长的基础性作用进一步激发居民消费热情，挖掘消费潜力、推动消费升级，5—12月份开启“2020乐购黎城·黎城生活更美好”消费活动更好满足居民消费需求，实现撬动消费增长、提振消费需求的目的。围绕创新驱动、转型升级的总要求，</w:t>
      </w:r>
      <w:r>
        <w:rPr>
          <w:rFonts w:hint="eastAsia" w:ascii="仿宋" w:hAnsi="仿宋" w:eastAsia="仿宋" w:cs="仿宋"/>
          <w:sz w:val="32"/>
          <w:szCs w:val="32"/>
          <w:lang w:val="zh-CN" w:eastAsia="zh-CN"/>
        </w:rPr>
        <w:t>坚持扩消费、稳增长、促转型，</w:t>
      </w:r>
      <w:r>
        <w:rPr>
          <w:rFonts w:hint="eastAsia" w:ascii="仿宋" w:hAnsi="仿宋" w:eastAsia="仿宋" w:cs="仿宋"/>
          <w:sz w:val="32"/>
          <w:szCs w:val="32"/>
          <w:lang w:val="en-US" w:eastAsia="zh-CN"/>
        </w:rPr>
        <w:t>利用“金九银十”消费旺季，全方位、多层次、多形式在全县集中开展影响力大、覆盖面广的促消费系列活动。</w:t>
      </w:r>
      <w:r>
        <w:rPr>
          <w:rFonts w:hint="eastAsia" w:ascii="仿宋" w:hAnsi="仿宋" w:eastAsia="仿宋" w:cs="仿宋"/>
          <w:sz w:val="32"/>
          <w:szCs w:val="32"/>
          <w:lang w:val="zh-CN" w:eastAsia="zh-CN"/>
        </w:rPr>
        <w:t>在华丽港购物广场开展2020</w:t>
      </w:r>
      <w:r>
        <w:rPr>
          <w:rFonts w:hint="eastAsia" w:ascii="仿宋" w:hAnsi="仿宋" w:eastAsia="仿宋" w:cs="仿宋"/>
          <w:sz w:val="32"/>
          <w:szCs w:val="32"/>
          <w:lang w:val="en-US" w:eastAsia="zh-CN"/>
        </w:rPr>
        <w:t>年“</w:t>
      </w:r>
      <w:r>
        <w:rPr>
          <w:rFonts w:hint="eastAsia" w:ascii="仿宋" w:hAnsi="仿宋" w:eastAsia="仿宋" w:cs="仿宋"/>
          <w:sz w:val="32"/>
          <w:szCs w:val="32"/>
          <w:lang w:val="zh-CN" w:eastAsia="zh-CN"/>
        </w:rPr>
        <w:t>乐享消费、美好生活</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 xml:space="preserve"> 促消费系列活动启动仪式，此次消费促销月开展时间为</w:t>
      </w:r>
      <w:r>
        <w:rPr>
          <w:rFonts w:hint="eastAsia" w:ascii="仿宋" w:hAnsi="仿宋" w:eastAsia="仿宋" w:cs="仿宋"/>
          <w:sz w:val="32"/>
          <w:szCs w:val="32"/>
          <w:lang w:val="en-US" w:eastAsia="zh-CN"/>
        </w:rPr>
        <w:t>2020年9月9日-10月8日</w:t>
      </w:r>
      <w:r>
        <w:rPr>
          <w:rFonts w:hint="eastAsia" w:ascii="仿宋" w:hAnsi="仿宋" w:eastAsia="仿宋" w:cs="仿宋"/>
          <w:sz w:val="32"/>
          <w:szCs w:val="32"/>
          <w:lang w:val="zh-CN" w:eastAsia="zh-CN"/>
        </w:rPr>
        <w:t>，</w:t>
      </w:r>
      <w:r>
        <w:rPr>
          <w:rFonts w:hint="eastAsia" w:ascii="仿宋" w:hAnsi="仿宋" w:eastAsia="仿宋" w:cs="仿宋"/>
          <w:sz w:val="32"/>
          <w:szCs w:val="32"/>
          <w:lang w:val="en-US" w:eastAsia="zh-CN"/>
        </w:rPr>
        <w:t>十多家企业开展让利促销活动，</w:t>
      </w:r>
      <w:r>
        <w:rPr>
          <w:rFonts w:hint="eastAsia" w:ascii="仿宋" w:hAnsi="仿宋" w:eastAsia="仿宋" w:cs="仿宋"/>
          <w:sz w:val="32"/>
          <w:szCs w:val="32"/>
          <w:lang w:val="zh-CN" w:eastAsia="zh-CN"/>
        </w:rPr>
        <w:t>展示黎城名品名店风采，提供惠民让利服务，引领时尚品质生活。</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安全演练、牢记心间为贯彻落实县安委会关于开展2020年“安全生产月活动”的通知，结合我县安全生产实际工作，以“消除安全隐患，筑牢安全防线”为主题开展了应急演练。提高了我县商贸企业安全生产意识，确保警钟长鸣。</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深挖资源、打造品牌长治市历来高度重视老字号企业保护和发展工作，为加快推动“上党老字号”发挥品牌优势和示范带动作用，开创我县商业繁荣新局面，我中心对县域内的老字号企业摸底排查，充分挖掘，积极申报市商务局，黎城县范家庄村刘氏老鼓加工厂脱颖而出荣获首批“上党老字号”。</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（二）突破性亮点工作：</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创全优环境，全优全创“小餐车，大民生。”便民餐车由县政府投资，由我中心承办，根据《关于县城规划区内设立便民餐车的实施方案》，在县城内共布点11个，覆盖县城主要巷道，辐射太行钢厂、古城汽车站、靳家街村、同元印象小区、世纪城C区、世纪城D区、火车站广场、中阳公园、黎民广场、大南街口、宏达小区居民生活区。面向全县招标经营，通过黎城县政府网站、县电视台发布招商公告，择优选聘，11名优胜者竞标成功，现全面开始对外营业。便民餐车，外观端庄大方，内部清洁舒适，环保卫生，机动灵活。主营早点晚点小吃，有豆腐脑、小笼包、混饨、葱花饼、油条、油糕等，花样品种齐全，口感独特，极具有地方风味，深受民众喜爱，人们竞相体验，人流如潮，成为我县一道靓丽的风景线。有关职能部门办理相关手续，提供全优服务，约为35人提供了就业岗位。县委、县政府采取以奖代补方式，一次性以奖代补资金每车 2万元；不收取任何费用。</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特色商业街申报工作根据山西省商务厅《关于开展2020年度特色商业街培育和认定的通知》(晋商建[2020]189号)文件精神，推荐黎侯古城申报山西省特色商业街。黎侯古城经过近两年的不断改造和规范，已经形成了具有特色的集购物、餐饮、娱乐、文化为一体的综合型商圈。在丰富人们日常生活的同时，促进了经济繁荣，有力推动了商业经济的发展。</w:t>
      </w:r>
    </w:p>
    <w:p>
      <w:pPr>
        <w:numPr>
          <w:ilvl w:val="0"/>
          <w:numId w:val="0"/>
        </w:numPr>
        <w:autoSpaceDE/>
        <w:autoSpaceDN/>
        <w:snapToGrid/>
        <w:spacing w:line="550" w:lineRule="exact"/>
        <w:ind w:leftChars="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（三）承担市对县考核主要指标任务完成情况：　　　</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2020年社会消费品零售总额市下达全年任务是17.95亿元，增速为7%，实际完成是 14.168亿元，增速是-3.4%，全市排名第 4。1-12月份限额以上企业各项指标完成情况如下：</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1、2020年1-12月份限额以上社会消费品零售总额累计完成20896.5万元，同比增长1.5%。</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 2020年1-12月份限额以上批发和零售业销售额累计完成190542.4万元，同比下降1.8%。</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 2020年1-12月份限额以上住宿和餐饮业营业额累计完成1688.6万元，同比增长4.5%。</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4、2020年我县两家外贸企业山西伊思迈镁业有限公司和黎城县聚英科技工业材料有限公司共实现出口创汇473.83万元。</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（四）电商扶贫任务</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我中心举办了“抖音直播带货电商操作”专题培训。参加培训的有电商企业、农业合作社、本地网红、有意运用抖音直播进行创业的青年及建档立卡贫困户等100余人，其中建档立卡贫困户38余人。培训反响很好，多家企业和合作社纷纷咨询抖音入驻。</w:t>
      </w:r>
    </w:p>
    <w:p>
      <w:pPr>
        <w:numPr>
          <w:ilvl w:val="0"/>
          <w:numId w:val="0"/>
        </w:numPr>
        <w:autoSpaceDE/>
        <w:autoSpaceDN/>
        <w:snapToGrid/>
        <w:spacing w:line="550" w:lineRule="exact"/>
        <w:ind w:leftChars="0"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在东阳关镇后峧村新建一个微商村，现已实现依托微信、惠农网等网络平台销售本地特色农产品，微商村创建工作基本完成。</w:t>
      </w:r>
    </w:p>
    <w:p>
      <w:pPr>
        <w:spacing w:before="100" w:beforeAutospacing="1" w:after="100" w:afterAutospacing="1" w:line="550" w:lineRule="exact"/>
        <w:ind w:firstLine="0"/>
        <w:jc w:val="center"/>
        <w:rPr>
          <w:rFonts w:hint="eastAsia" w:ascii="仿宋" w:hAnsi="仿宋" w:eastAsia="仿宋" w:cs="仿宋"/>
          <w:sz w:val="32"/>
          <w:szCs w:val="32"/>
        </w:rPr>
      </w:pPr>
    </w:p>
    <w:p>
      <w:pPr>
        <w:spacing w:before="100" w:beforeAutospacing="1" w:after="100" w:afterAutospacing="1" w:line="550" w:lineRule="exact"/>
        <w:ind w:firstLine="0"/>
        <w:jc w:val="center"/>
        <w:rPr>
          <w:rFonts w:hint="eastAsia" w:ascii="仿宋" w:hAnsi="仿宋" w:eastAsia="仿宋" w:cs="仿宋"/>
          <w:sz w:val="32"/>
          <w:szCs w:val="32"/>
        </w:rPr>
      </w:pPr>
    </w:p>
    <w:p>
      <w:pPr>
        <w:pStyle w:val="2"/>
        <w:rPr>
          <w:rFonts w:hint="eastAsia"/>
        </w:rPr>
      </w:pPr>
    </w:p>
    <w:p>
      <w:pPr>
        <w:pStyle w:val="2"/>
        <w:rPr>
          <w:rFonts w:hint="eastAsia"/>
        </w:rPr>
      </w:pPr>
    </w:p>
    <w:p>
      <w:pPr>
        <w:pStyle w:val="2"/>
        <w:rPr>
          <w:rFonts w:hint="eastAsia"/>
        </w:rPr>
      </w:pPr>
    </w:p>
    <w:p>
      <w:pPr>
        <w:ind w:firstLine="643" w:firstLineChars="200"/>
        <w:jc w:val="center"/>
        <w:rPr>
          <w:rStyle w:val="7"/>
          <w:rFonts w:hint="eastAsia" w:ascii="仿宋_GB2312" w:eastAsia="仿宋_GB2312"/>
          <w:b/>
          <w:szCs w:val="32"/>
        </w:rPr>
      </w:pPr>
      <w:r>
        <w:rPr>
          <w:rStyle w:val="7"/>
          <w:rFonts w:hint="eastAsia" w:ascii="仿宋_GB2312" w:eastAsia="仿宋_GB2312"/>
          <w:b/>
          <w:szCs w:val="32"/>
          <w:lang w:val="en-US" w:eastAsia="zh-CN"/>
        </w:rPr>
        <w:t xml:space="preserve">          </w:t>
      </w:r>
      <w:r>
        <w:rPr>
          <w:rStyle w:val="7"/>
          <w:rFonts w:hint="eastAsia" w:ascii="仿宋_GB2312" w:eastAsia="仿宋_GB2312"/>
          <w:b/>
          <w:szCs w:val="32"/>
        </w:rPr>
        <w:t>第二部分　部门预算表（略，详见附表）</w:t>
      </w:r>
    </w:p>
    <w:p>
      <w:pPr>
        <w:spacing w:before="312" w:beforeAutospacing="1" w:after="312" w:afterAutospacing="1" w:line="550" w:lineRule="exact"/>
        <w:jc w:val="center"/>
        <w:rPr>
          <w:rStyle w:val="7"/>
          <w:rFonts w:hint="eastAsia" w:ascii="仿宋_GB2312" w:eastAsia="仿宋_GB2312"/>
          <w:b/>
          <w:szCs w:val="32"/>
        </w:rPr>
      </w:pPr>
      <w:r>
        <w:rPr>
          <w:rStyle w:val="7"/>
          <w:rFonts w:hint="eastAsia" w:ascii="仿宋_GB2312" w:eastAsia="仿宋_GB2312"/>
          <w:b/>
          <w:szCs w:val="32"/>
        </w:rPr>
        <w:t>第三部分 部门预算情况说明</w:t>
      </w:r>
    </w:p>
    <w:p>
      <w:pPr>
        <w:spacing w:before="156"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一、收支预算总体情况说明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年度收入、支出预算总计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万元，与上年相比收、支预算总计各增加</w:t>
      </w:r>
      <w:r>
        <w:rPr>
          <w:rFonts w:hint="eastAsia" w:ascii="仿宋" w:hAnsi="仿宋" w:eastAsia="仿宋" w:cs="仿宋"/>
          <w:sz w:val="32"/>
          <w:szCs w:val="32"/>
          <w:u w:val="none"/>
          <w:lang w:val="en-US" w:eastAsia="zh-CN"/>
        </w:rPr>
        <w:t>6.2</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5.62</w:t>
      </w:r>
      <w:r>
        <w:rPr>
          <w:rFonts w:hint="eastAsia" w:ascii="仿宋" w:hAnsi="仿宋" w:eastAsia="仿宋" w:cs="仿宋"/>
          <w:sz w:val="32"/>
          <w:szCs w:val="32"/>
        </w:rPr>
        <w:t>%。主要原因是</w:t>
      </w:r>
      <w:r>
        <w:rPr>
          <w:rFonts w:hint="eastAsia" w:ascii="仿宋" w:hAnsi="仿宋" w:eastAsia="仿宋" w:cs="仿宋"/>
          <w:sz w:val="32"/>
          <w:szCs w:val="32"/>
          <w:lang w:eastAsia="zh-CN"/>
        </w:rPr>
        <w:t>一般公共服务类拨付增加</w:t>
      </w:r>
      <w:r>
        <w:rPr>
          <w:rFonts w:hint="eastAsia" w:ascii="仿宋" w:hAnsi="仿宋" w:eastAsia="仿宋" w:cs="仿宋"/>
          <w:sz w:val="32"/>
          <w:szCs w:val="32"/>
        </w:rPr>
        <w:t>。其中：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（一）收入预算总计</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1．财政拨款收入预算总计</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一般公共预算收入预算</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万元，与上年相比增加</w:t>
      </w:r>
      <w:r>
        <w:rPr>
          <w:rFonts w:hint="eastAsia" w:ascii="仿宋" w:hAnsi="仿宋" w:eastAsia="仿宋" w:cs="仿宋"/>
          <w:sz w:val="32"/>
          <w:szCs w:val="32"/>
          <w:u w:val="none"/>
          <w:lang w:val="en-US" w:eastAsia="zh-CN"/>
        </w:rPr>
        <w:t>6.28</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5.62</w:t>
      </w:r>
      <w:r>
        <w:rPr>
          <w:rFonts w:hint="eastAsia" w:ascii="仿宋" w:hAnsi="仿宋" w:eastAsia="仿宋" w:cs="仿宋"/>
          <w:sz w:val="32"/>
          <w:szCs w:val="32"/>
        </w:rPr>
        <w:t>%。主要原因是</w:t>
      </w:r>
      <w:r>
        <w:rPr>
          <w:rFonts w:hint="eastAsia" w:ascii="仿宋" w:hAnsi="仿宋" w:eastAsia="仿宋" w:cs="仿宋"/>
          <w:sz w:val="32"/>
          <w:szCs w:val="32"/>
          <w:lang w:eastAsia="zh-CN"/>
        </w:rPr>
        <w:t>一般公共服务类拨款增加</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（二）支出预算总计</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万元。包括：</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1．一般公共服务（类）支出</w:t>
      </w:r>
      <w:r>
        <w:rPr>
          <w:rFonts w:hint="eastAsia" w:ascii="仿宋" w:hAnsi="仿宋" w:eastAsia="仿宋" w:cs="仿宋"/>
          <w:sz w:val="32"/>
          <w:szCs w:val="32"/>
          <w:u w:val="none"/>
          <w:lang w:val="en-US" w:eastAsia="zh-CN"/>
        </w:rPr>
        <w:t>100.21</w:t>
      </w:r>
      <w:r>
        <w:rPr>
          <w:rFonts w:hint="eastAsia" w:ascii="仿宋" w:hAnsi="仿宋" w:eastAsia="仿宋" w:cs="仿宋"/>
          <w:sz w:val="32"/>
          <w:szCs w:val="32"/>
        </w:rPr>
        <w:t>万元，主要用于</w:t>
      </w:r>
      <w:r>
        <w:rPr>
          <w:rFonts w:hint="eastAsia" w:ascii="仿宋" w:hAnsi="仿宋" w:eastAsia="仿宋" w:cs="仿宋"/>
          <w:sz w:val="32"/>
          <w:szCs w:val="32"/>
          <w:lang w:eastAsia="zh-CN"/>
        </w:rPr>
        <w:t>人员经费等</w:t>
      </w:r>
      <w:r>
        <w:rPr>
          <w:rFonts w:hint="eastAsia" w:ascii="仿宋" w:hAnsi="仿宋" w:eastAsia="仿宋" w:cs="仿宋"/>
          <w:sz w:val="32"/>
          <w:szCs w:val="32"/>
        </w:rPr>
        <w:t>。与上年相比增加</w:t>
      </w:r>
      <w:r>
        <w:rPr>
          <w:rFonts w:hint="eastAsia" w:ascii="仿宋" w:hAnsi="仿宋" w:eastAsia="仿宋" w:cs="仿宋"/>
          <w:sz w:val="32"/>
          <w:szCs w:val="32"/>
          <w:u w:val="none"/>
          <w:lang w:val="en-US" w:eastAsia="zh-CN"/>
        </w:rPr>
        <w:t>7.46</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8.04</w:t>
      </w:r>
      <w:r>
        <w:rPr>
          <w:rFonts w:hint="eastAsia" w:ascii="仿宋" w:hAnsi="仿宋" w:eastAsia="仿宋" w:cs="仿宋"/>
          <w:sz w:val="32"/>
          <w:szCs w:val="32"/>
        </w:rPr>
        <w:t>%。主要原因是</w:t>
      </w:r>
      <w:r>
        <w:rPr>
          <w:rFonts w:hint="eastAsia" w:ascii="仿宋" w:hAnsi="仿宋" w:eastAsia="仿宋" w:cs="仿宋"/>
          <w:sz w:val="32"/>
          <w:szCs w:val="32"/>
          <w:lang w:eastAsia="zh-CN"/>
        </w:rPr>
        <w:t>财政拨款增加</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2．社会保障和就业支出</w:t>
      </w:r>
      <w:r>
        <w:rPr>
          <w:rFonts w:hint="eastAsia" w:ascii="仿宋" w:hAnsi="仿宋" w:eastAsia="仿宋" w:cs="仿宋"/>
          <w:sz w:val="32"/>
          <w:szCs w:val="32"/>
          <w:u w:val="none"/>
          <w:lang w:val="en-US" w:eastAsia="zh-CN"/>
        </w:rPr>
        <w:t>10.18</w:t>
      </w:r>
      <w:r>
        <w:rPr>
          <w:rFonts w:hint="eastAsia" w:ascii="仿宋" w:hAnsi="仿宋" w:eastAsia="仿宋" w:cs="仿宋"/>
          <w:sz w:val="32"/>
          <w:szCs w:val="32"/>
        </w:rPr>
        <w:t>万元，主要用于</w:t>
      </w:r>
      <w:r>
        <w:rPr>
          <w:rFonts w:hint="eastAsia" w:ascii="仿宋" w:hAnsi="仿宋" w:eastAsia="仿宋" w:cs="仿宋"/>
          <w:sz w:val="32"/>
          <w:szCs w:val="32"/>
          <w:lang w:eastAsia="zh-CN"/>
        </w:rPr>
        <w:t>养老保险缴费</w:t>
      </w:r>
      <w:r>
        <w:rPr>
          <w:rFonts w:hint="eastAsia" w:ascii="仿宋" w:hAnsi="仿宋" w:eastAsia="仿宋" w:cs="仿宋"/>
          <w:sz w:val="32"/>
          <w:szCs w:val="32"/>
        </w:rPr>
        <w:t>。与上年相比</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1.69</w:t>
      </w:r>
      <w:r>
        <w:rPr>
          <w:rFonts w:hint="eastAsia" w:ascii="仿宋" w:hAnsi="仿宋" w:eastAsia="仿宋" w:cs="仿宋"/>
          <w:sz w:val="32"/>
          <w:szCs w:val="32"/>
        </w:rPr>
        <w:t>万元，</w:t>
      </w:r>
      <w:r>
        <w:rPr>
          <w:rFonts w:hint="eastAsia" w:ascii="仿宋" w:hAnsi="仿宋" w:eastAsia="仿宋" w:cs="仿宋"/>
          <w:sz w:val="32"/>
          <w:szCs w:val="32"/>
          <w:lang w:eastAsia="zh-CN"/>
        </w:rPr>
        <w:t>减少</w:t>
      </w:r>
      <w:r>
        <w:rPr>
          <w:rFonts w:hint="eastAsia" w:ascii="仿宋" w:hAnsi="仿宋" w:eastAsia="仿宋" w:cs="仿宋"/>
          <w:sz w:val="32"/>
          <w:szCs w:val="32"/>
          <w:u w:val="none"/>
          <w:lang w:val="en-US" w:eastAsia="zh-CN"/>
        </w:rPr>
        <w:t>14.24</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val="en-US" w:eastAsia="zh-CN"/>
        </w:rPr>
        <w:t>社保</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．住房保障支出</w:t>
      </w:r>
      <w:r>
        <w:rPr>
          <w:rFonts w:hint="eastAsia" w:ascii="仿宋" w:hAnsi="仿宋" w:eastAsia="仿宋" w:cs="仿宋"/>
          <w:sz w:val="32"/>
          <w:szCs w:val="32"/>
          <w:u w:val="none"/>
          <w:lang w:val="en-US" w:eastAsia="zh-CN"/>
        </w:rPr>
        <w:t>7.63</w:t>
      </w:r>
      <w:r>
        <w:rPr>
          <w:rFonts w:hint="eastAsia" w:ascii="仿宋" w:hAnsi="仿宋" w:eastAsia="仿宋" w:cs="仿宋"/>
          <w:sz w:val="32"/>
          <w:szCs w:val="32"/>
        </w:rPr>
        <w:t>万元，主要用于</w:t>
      </w:r>
      <w:r>
        <w:rPr>
          <w:rFonts w:hint="eastAsia" w:ascii="仿宋" w:hAnsi="仿宋" w:eastAsia="仿宋" w:cs="仿宋"/>
          <w:sz w:val="32"/>
          <w:szCs w:val="32"/>
          <w:lang w:eastAsia="zh-CN"/>
        </w:rPr>
        <w:t>公积金缴费</w:t>
      </w:r>
      <w:r>
        <w:rPr>
          <w:rFonts w:hint="eastAsia" w:ascii="仿宋" w:hAnsi="仿宋" w:eastAsia="仿宋" w:cs="仿宋"/>
          <w:sz w:val="32"/>
          <w:szCs w:val="32"/>
        </w:rPr>
        <w:t>。与上年相比增加</w:t>
      </w:r>
      <w:r>
        <w:rPr>
          <w:rFonts w:hint="eastAsia" w:ascii="仿宋" w:hAnsi="仿宋" w:eastAsia="仿宋" w:cs="仿宋"/>
          <w:sz w:val="32"/>
          <w:szCs w:val="32"/>
          <w:u w:val="none"/>
          <w:lang w:val="en-US" w:eastAsia="zh-CN"/>
        </w:rPr>
        <w:t>0.51</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7.16</w:t>
      </w:r>
      <w:r>
        <w:rPr>
          <w:rFonts w:hint="eastAsia" w:ascii="仿宋" w:hAnsi="仿宋" w:eastAsia="仿宋" w:cs="仿宋"/>
          <w:sz w:val="32"/>
          <w:szCs w:val="32"/>
          <w:u w:val="none"/>
        </w:rPr>
        <w:t xml:space="preserve"> </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此外，基本支出预算数为</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103.02</w:t>
      </w:r>
      <w:r>
        <w:rPr>
          <w:rFonts w:hint="eastAsia" w:ascii="仿宋" w:hAnsi="仿宋" w:eastAsia="仿宋" w:cs="仿宋"/>
          <w:sz w:val="32"/>
          <w:szCs w:val="32"/>
          <w:u w:val="none"/>
        </w:rPr>
        <w:t xml:space="preserve"> </w:t>
      </w:r>
      <w:r>
        <w:rPr>
          <w:rFonts w:hint="eastAsia" w:ascii="仿宋" w:hAnsi="仿宋" w:eastAsia="仿宋" w:cs="仿宋"/>
          <w:sz w:val="32"/>
          <w:szCs w:val="32"/>
        </w:rPr>
        <w:t>万元。与上年相比增加</w:t>
      </w:r>
      <w:r>
        <w:rPr>
          <w:rFonts w:hint="eastAsia" w:ascii="仿宋" w:hAnsi="仿宋" w:eastAsia="仿宋" w:cs="仿宋"/>
          <w:sz w:val="32"/>
          <w:szCs w:val="32"/>
          <w:u w:val="none"/>
          <w:lang w:val="en-US" w:eastAsia="zh-CN"/>
        </w:rPr>
        <w:t>4.03</w:t>
      </w:r>
      <w:r>
        <w:rPr>
          <w:rFonts w:hint="eastAsia" w:ascii="仿宋" w:hAnsi="仿宋" w:eastAsia="仿宋" w:cs="仿宋"/>
          <w:sz w:val="32"/>
          <w:szCs w:val="32"/>
          <w:u w:val="none"/>
        </w:rPr>
        <w:t xml:space="preserve"> </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4.07</w:t>
      </w:r>
      <w:r>
        <w:rPr>
          <w:rFonts w:hint="eastAsia" w:ascii="仿宋" w:hAnsi="仿宋" w:eastAsia="仿宋" w:cs="仿宋"/>
          <w:sz w:val="32"/>
          <w:szCs w:val="32"/>
        </w:rPr>
        <w:t>%。主要原因是</w:t>
      </w:r>
      <w:r>
        <w:rPr>
          <w:rFonts w:hint="eastAsia" w:ascii="仿宋" w:hAnsi="仿宋" w:eastAsia="仿宋" w:cs="仿宋"/>
          <w:sz w:val="32"/>
          <w:szCs w:val="32"/>
          <w:lang w:eastAsia="zh-CN"/>
        </w:rPr>
        <w:t>基数调整</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项目支出预算数为</w:t>
      </w:r>
      <w:r>
        <w:rPr>
          <w:rFonts w:hint="eastAsia" w:ascii="仿宋" w:hAnsi="仿宋" w:eastAsia="仿宋" w:cs="仿宋"/>
          <w:sz w:val="32"/>
          <w:szCs w:val="32"/>
          <w:u w:val="none"/>
          <w:lang w:val="en-US" w:eastAsia="zh-CN"/>
        </w:rPr>
        <w:t>15</w:t>
      </w:r>
      <w:r>
        <w:rPr>
          <w:rFonts w:hint="eastAsia" w:ascii="仿宋" w:hAnsi="仿宋" w:eastAsia="仿宋" w:cs="仿宋"/>
          <w:sz w:val="32"/>
          <w:szCs w:val="32"/>
        </w:rPr>
        <w:t>万元。与上年相比增</w:t>
      </w:r>
      <w:r>
        <w:rPr>
          <w:rFonts w:hint="eastAsia" w:ascii="仿宋" w:hAnsi="仿宋" w:eastAsia="仿宋" w:cs="仿宋"/>
          <w:sz w:val="32"/>
          <w:szCs w:val="32"/>
          <w:u w:val="none"/>
          <w:lang w:val="en-US" w:eastAsia="zh-CN"/>
        </w:rPr>
        <w:t>2.25</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17.65</w:t>
      </w:r>
      <w:r>
        <w:rPr>
          <w:rFonts w:hint="eastAsia" w:ascii="仿宋" w:hAnsi="仿宋" w:eastAsia="仿宋" w:cs="仿宋"/>
          <w:sz w:val="32"/>
          <w:szCs w:val="32"/>
        </w:rPr>
        <w:t>%。主要原因是项目</w:t>
      </w:r>
      <w:r>
        <w:rPr>
          <w:rFonts w:hint="eastAsia" w:ascii="仿宋" w:hAnsi="仿宋" w:eastAsia="仿宋" w:cs="仿宋"/>
          <w:sz w:val="32"/>
          <w:szCs w:val="32"/>
          <w:lang w:eastAsia="zh-CN"/>
        </w:rPr>
        <w:t>资金增加</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二、收入预算情况说明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w:t>
      </w:r>
      <w:r>
        <w:rPr>
          <w:rFonts w:hint="eastAsia" w:ascii="仿宋" w:hAnsi="仿宋" w:eastAsia="仿宋" w:cs="仿宋"/>
          <w:sz w:val="32"/>
          <w:szCs w:val="32"/>
        </w:rPr>
        <w:t>本年</w:t>
      </w:r>
      <w:r>
        <w:rPr>
          <w:rFonts w:hint="eastAsia" w:ascii="仿宋" w:hAnsi="仿宋" w:eastAsia="仿宋" w:cs="仿宋"/>
          <w:sz w:val="32"/>
          <w:szCs w:val="32"/>
          <w:lang w:val="en-US" w:eastAsia="zh-CN"/>
        </w:rPr>
        <w:t>度</w:t>
      </w:r>
      <w:r>
        <w:rPr>
          <w:rFonts w:hint="eastAsia" w:ascii="仿宋" w:hAnsi="仿宋" w:eastAsia="仿宋" w:cs="仿宋"/>
          <w:sz w:val="32"/>
          <w:szCs w:val="32"/>
        </w:rPr>
        <w:t>收入预算合计</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一般公共预算收入</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100</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三、支出预算情况说明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w:t>
      </w:r>
      <w:r>
        <w:rPr>
          <w:rFonts w:hint="eastAsia" w:ascii="仿宋" w:hAnsi="仿宋" w:eastAsia="仿宋" w:cs="仿宋"/>
          <w:sz w:val="32"/>
          <w:szCs w:val="32"/>
        </w:rPr>
        <w:t>本年</w:t>
      </w:r>
      <w:r>
        <w:rPr>
          <w:rFonts w:hint="eastAsia" w:ascii="仿宋" w:hAnsi="仿宋" w:eastAsia="仿宋" w:cs="仿宋"/>
          <w:sz w:val="32"/>
          <w:szCs w:val="32"/>
          <w:lang w:val="en-US" w:eastAsia="zh-CN"/>
        </w:rPr>
        <w:t>度</w:t>
      </w:r>
      <w:r>
        <w:rPr>
          <w:rFonts w:hint="eastAsia" w:ascii="仿宋" w:hAnsi="仿宋" w:eastAsia="仿宋" w:cs="仿宋"/>
          <w:sz w:val="32"/>
          <w:szCs w:val="32"/>
        </w:rPr>
        <w:t>支出预算合计</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基本支出</w:t>
      </w:r>
      <w:r>
        <w:rPr>
          <w:rFonts w:hint="eastAsia" w:ascii="仿宋" w:hAnsi="仿宋" w:eastAsia="仿宋" w:cs="仿宋"/>
          <w:sz w:val="32"/>
          <w:szCs w:val="32"/>
          <w:u w:val="none"/>
          <w:lang w:val="en-US" w:eastAsia="zh-CN"/>
        </w:rPr>
        <w:t>103.02</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87.30</w:t>
      </w:r>
      <w:r>
        <w:rPr>
          <w:rFonts w:hint="eastAsia" w:ascii="仿宋" w:hAnsi="仿宋" w:eastAsia="仿宋" w:cs="仿宋"/>
          <w:sz w:val="32"/>
          <w:szCs w:val="32"/>
        </w:rPr>
        <w:t>%；</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项目支出</w:t>
      </w:r>
      <w:r>
        <w:rPr>
          <w:rFonts w:hint="eastAsia" w:ascii="仿宋" w:hAnsi="仿宋" w:eastAsia="仿宋" w:cs="仿宋"/>
          <w:sz w:val="32"/>
          <w:szCs w:val="32"/>
          <w:u w:val="none"/>
          <w:lang w:val="en-US" w:eastAsia="zh-CN"/>
        </w:rPr>
        <w:t>15</w:t>
      </w:r>
      <w:r>
        <w:rPr>
          <w:rFonts w:hint="eastAsia" w:ascii="仿宋" w:hAnsi="仿宋" w:eastAsia="仿宋" w:cs="仿宋"/>
          <w:sz w:val="32"/>
          <w:szCs w:val="32"/>
        </w:rPr>
        <w:t>万元，占</w:t>
      </w:r>
      <w:r>
        <w:rPr>
          <w:rFonts w:hint="eastAsia" w:ascii="仿宋" w:hAnsi="仿宋" w:eastAsia="仿宋" w:cs="仿宋"/>
          <w:sz w:val="32"/>
          <w:szCs w:val="32"/>
          <w:u w:val="none"/>
          <w:lang w:val="en-US" w:eastAsia="zh-CN"/>
        </w:rPr>
        <w:t>12.70</w:t>
      </w:r>
      <w:r>
        <w:rPr>
          <w:rFonts w:hint="eastAsia" w:ascii="仿宋" w:hAnsi="仿宋" w:eastAsia="仿宋" w:cs="仿宋"/>
          <w:sz w:val="32"/>
          <w:szCs w:val="32"/>
        </w:rPr>
        <w:t>%；</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四、财政拨款收支预算总体情况说明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z w:val="32"/>
          <w:szCs w:val="32"/>
        </w:rPr>
        <w:t>年度财政拨款收、支总预算</w:t>
      </w:r>
      <w:r>
        <w:rPr>
          <w:rFonts w:hint="eastAsia" w:ascii="仿宋" w:hAnsi="仿宋" w:eastAsia="仿宋" w:cs="仿宋"/>
          <w:sz w:val="32"/>
          <w:szCs w:val="32"/>
          <w:lang w:eastAsia="zh-CN"/>
        </w:rPr>
        <w:t>各</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万元。与上年相比，财政拨款收、支总计各增加</w:t>
      </w:r>
      <w:r>
        <w:rPr>
          <w:rFonts w:hint="eastAsia" w:ascii="仿宋" w:hAnsi="仿宋" w:eastAsia="仿宋" w:cs="仿宋"/>
          <w:sz w:val="32"/>
          <w:szCs w:val="32"/>
          <w:u w:val="none"/>
          <w:lang w:val="en-US" w:eastAsia="zh-CN"/>
        </w:rPr>
        <w:t>6.28</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5.62</w:t>
      </w:r>
      <w:r>
        <w:rPr>
          <w:rFonts w:hint="eastAsia" w:ascii="仿宋" w:hAnsi="仿宋" w:eastAsia="仿宋" w:cs="仿宋"/>
          <w:sz w:val="32"/>
          <w:szCs w:val="32"/>
        </w:rPr>
        <w:t>%。主要原因是</w:t>
      </w:r>
      <w:r>
        <w:rPr>
          <w:rFonts w:hint="eastAsia" w:ascii="仿宋" w:hAnsi="仿宋" w:eastAsia="仿宋" w:cs="仿宋"/>
          <w:sz w:val="32"/>
          <w:szCs w:val="32"/>
          <w:lang w:eastAsia="zh-CN"/>
        </w:rPr>
        <w:t>一般公共服务类拨付增加。</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五、一般公共预算支出预算情况说明</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u w:val="none"/>
          <w:lang w:val="en-US" w:eastAsia="zh-CN"/>
        </w:rPr>
        <w:t>本部门本年度</w:t>
      </w:r>
      <w:r>
        <w:rPr>
          <w:rFonts w:hint="eastAsia" w:ascii="仿宋" w:hAnsi="仿宋" w:eastAsia="仿宋" w:cs="仿宋"/>
          <w:sz w:val="32"/>
          <w:szCs w:val="32"/>
        </w:rPr>
        <w:t>一般公共预算财政拨款支出预算</w:t>
      </w:r>
      <w:r>
        <w:rPr>
          <w:rFonts w:hint="eastAsia" w:ascii="仿宋" w:hAnsi="仿宋" w:eastAsia="仿宋" w:cs="仿宋"/>
          <w:sz w:val="32"/>
          <w:szCs w:val="32"/>
          <w:u w:val="none"/>
          <w:lang w:val="en-US" w:eastAsia="zh-CN"/>
        </w:rPr>
        <w:t>118.02</w:t>
      </w:r>
      <w:r>
        <w:rPr>
          <w:rFonts w:hint="eastAsia" w:ascii="仿宋" w:hAnsi="仿宋" w:eastAsia="仿宋" w:cs="仿宋"/>
          <w:sz w:val="32"/>
          <w:szCs w:val="32"/>
        </w:rPr>
        <w:t>万元，与上年相比增加</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6.28</w:t>
      </w:r>
      <w:r>
        <w:rPr>
          <w:rFonts w:hint="eastAsia" w:ascii="仿宋" w:hAnsi="仿宋" w:eastAsia="仿宋" w:cs="仿宋"/>
          <w:sz w:val="32"/>
          <w:szCs w:val="32"/>
        </w:rPr>
        <w:t>万元，增长</w:t>
      </w:r>
      <w:r>
        <w:rPr>
          <w:rFonts w:hint="eastAsia" w:ascii="仿宋" w:hAnsi="仿宋" w:eastAsia="仿宋" w:cs="仿宋"/>
          <w:sz w:val="32"/>
          <w:szCs w:val="32"/>
          <w:u w:val="none"/>
          <w:lang w:val="en-US" w:eastAsia="zh-CN"/>
        </w:rPr>
        <w:t>5.62</w:t>
      </w:r>
      <w:r>
        <w:rPr>
          <w:rFonts w:hint="eastAsia" w:ascii="仿宋" w:hAnsi="仿宋" w:eastAsia="仿宋" w:cs="仿宋"/>
          <w:sz w:val="32"/>
          <w:szCs w:val="32"/>
        </w:rPr>
        <w:t>%。主要原因是</w:t>
      </w:r>
      <w:r>
        <w:rPr>
          <w:rFonts w:hint="eastAsia" w:ascii="仿宋" w:hAnsi="仿宋" w:eastAsia="仿宋" w:cs="仿宋"/>
          <w:sz w:val="32"/>
          <w:szCs w:val="32"/>
          <w:lang w:eastAsia="zh-CN"/>
        </w:rPr>
        <w:t>一般公共服务类支出增加。</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六、一般公共预算基本支出预算情况说明</w:t>
      </w:r>
    </w:p>
    <w:p>
      <w:pPr>
        <w:spacing w:line="550" w:lineRule="exact"/>
        <w:ind w:firstLine="640" w:firstLineChars="200"/>
        <w:rPr>
          <w:rFonts w:hint="eastAsia" w:ascii="仿宋" w:hAnsi="仿宋" w:eastAsia="仿宋" w:cs="仿宋"/>
          <w:spacing w:val="8"/>
          <w:sz w:val="32"/>
          <w:szCs w:val="32"/>
        </w:rPr>
      </w:pPr>
      <w:r>
        <w:rPr>
          <w:rFonts w:hint="eastAsia" w:ascii="仿宋" w:hAnsi="仿宋" w:eastAsia="仿宋" w:cs="仿宋"/>
          <w:sz w:val="32"/>
          <w:szCs w:val="32"/>
          <w:u w:val="none"/>
          <w:lang w:val="en-US" w:eastAsia="zh-CN"/>
        </w:rPr>
        <w:t>本部门本</w:t>
      </w:r>
      <w:r>
        <w:rPr>
          <w:rFonts w:hint="eastAsia" w:ascii="仿宋" w:hAnsi="仿宋" w:eastAsia="仿宋" w:cs="仿宋"/>
          <w:spacing w:val="8"/>
          <w:sz w:val="32"/>
          <w:szCs w:val="32"/>
        </w:rPr>
        <w:t>年度一般公共预算财政拨款基本支出预算</w:t>
      </w:r>
      <w:r>
        <w:rPr>
          <w:rFonts w:hint="eastAsia" w:ascii="仿宋" w:hAnsi="仿宋" w:eastAsia="仿宋" w:cs="仿宋"/>
          <w:spacing w:val="8"/>
          <w:sz w:val="32"/>
          <w:szCs w:val="32"/>
          <w:u w:val="none"/>
          <w:lang w:val="en-US" w:eastAsia="zh-CN"/>
        </w:rPr>
        <w:t>103.02</w:t>
      </w:r>
      <w:r>
        <w:rPr>
          <w:rFonts w:hint="eastAsia" w:ascii="仿宋" w:hAnsi="仿宋" w:eastAsia="仿宋" w:cs="仿宋"/>
          <w:spacing w:val="8"/>
          <w:sz w:val="32"/>
          <w:szCs w:val="32"/>
        </w:rPr>
        <w:t>万元，其中：</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（一）人员经费</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96.42</w:t>
      </w:r>
      <w:r>
        <w:rPr>
          <w:rFonts w:hint="eastAsia" w:ascii="仿宋" w:hAnsi="仿宋" w:eastAsia="仿宋" w:cs="仿宋"/>
          <w:sz w:val="32"/>
          <w:szCs w:val="32"/>
        </w:rPr>
        <w:t>万元。主要包括：基本工资</w:t>
      </w:r>
      <w:r>
        <w:rPr>
          <w:rFonts w:hint="eastAsia" w:ascii="仿宋" w:hAnsi="仿宋" w:eastAsia="仿宋" w:cs="仿宋"/>
          <w:sz w:val="32"/>
          <w:szCs w:val="32"/>
          <w:lang w:val="en-US" w:eastAsia="zh-CN"/>
        </w:rPr>
        <w:t>35.91万元</w:t>
      </w:r>
      <w:r>
        <w:rPr>
          <w:rFonts w:hint="eastAsia" w:ascii="仿宋" w:hAnsi="仿宋" w:eastAsia="仿宋" w:cs="仿宋"/>
          <w:sz w:val="32"/>
          <w:szCs w:val="32"/>
        </w:rPr>
        <w:t>、津贴补贴</w:t>
      </w:r>
      <w:r>
        <w:rPr>
          <w:rFonts w:hint="eastAsia" w:ascii="仿宋" w:hAnsi="仿宋" w:eastAsia="仿宋" w:cs="仿宋"/>
          <w:sz w:val="32"/>
          <w:szCs w:val="32"/>
          <w:lang w:val="en-US" w:eastAsia="zh-CN"/>
        </w:rPr>
        <w:t>5.19</w:t>
      </w:r>
      <w:r>
        <w:rPr>
          <w:rFonts w:hint="eastAsia" w:ascii="仿宋" w:hAnsi="仿宋" w:eastAsia="仿宋" w:cs="仿宋"/>
          <w:sz w:val="32"/>
          <w:szCs w:val="32"/>
        </w:rPr>
        <w:t>万元、奖金</w:t>
      </w:r>
      <w:r>
        <w:rPr>
          <w:rFonts w:hint="eastAsia" w:ascii="仿宋" w:hAnsi="仿宋" w:eastAsia="仿宋" w:cs="仿宋"/>
          <w:sz w:val="32"/>
          <w:szCs w:val="32"/>
          <w:lang w:val="en-US" w:eastAsia="zh-CN"/>
        </w:rPr>
        <w:t>2.99</w:t>
      </w:r>
      <w:r>
        <w:rPr>
          <w:rFonts w:hint="eastAsia" w:ascii="仿宋" w:hAnsi="仿宋" w:eastAsia="仿宋" w:cs="仿宋"/>
          <w:sz w:val="32"/>
          <w:szCs w:val="32"/>
        </w:rPr>
        <w:t>万元、绩效工资</w:t>
      </w:r>
      <w:r>
        <w:rPr>
          <w:rFonts w:hint="eastAsia" w:ascii="仿宋" w:hAnsi="仿宋" w:eastAsia="仿宋" w:cs="仿宋"/>
          <w:sz w:val="32"/>
          <w:szCs w:val="32"/>
          <w:lang w:val="en-US" w:eastAsia="zh-CN"/>
        </w:rPr>
        <w:t>21.37</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r>
        <w:rPr>
          <w:rFonts w:hint="eastAsia" w:ascii="仿宋" w:hAnsi="仿宋" w:eastAsia="仿宋" w:cs="仿宋"/>
          <w:sz w:val="32"/>
          <w:szCs w:val="32"/>
        </w:rPr>
        <w:t>社会保障缴费</w:t>
      </w:r>
      <w:r>
        <w:rPr>
          <w:rFonts w:hint="eastAsia" w:ascii="仿宋" w:hAnsi="仿宋" w:eastAsia="仿宋" w:cs="仿宋"/>
          <w:sz w:val="32"/>
          <w:szCs w:val="32"/>
          <w:lang w:val="en-US" w:eastAsia="zh-CN"/>
        </w:rPr>
        <w:t>15.81</w:t>
      </w:r>
      <w:r>
        <w:rPr>
          <w:rFonts w:hint="eastAsia" w:ascii="仿宋" w:hAnsi="仿宋" w:eastAsia="仿宋" w:cs="仿宋"/>
          <w:sz w:val="32"/>
          <w:szCs w:val="32"/>
        </w:rPr>
        <w:t>万元、住房公积金</w:t>
      </w:r>
      <w:r>
        <w:rPr>
          <w:rFonts w:hint="eastAsia" w:ascii="仿宋" w:hAnsi="仿宋" w:eastAsia="仿宋" w:cs="仿宋"/>
          <w:sz w:val="32"/>
          <w:szCs w:val="32"/>
          <w:lang w:val="en-US" w:eastAsia="zh-CN"/>
        </w:rPr>
        <w:t>7.63</w:t>
      </w:r>
      <w:r>
        <w:rPr>
          <w:rFonts w:hint="eastAsia" w:ascii="仿宋" w:hAnsi="仿宋" w:eastAsia="仿宋" w:cs="仿宋"/>
          <w:sz w:val="32"/>
          <w:szCs w:val="32"/>
        </w:rPr>
        <w:t>万元、其他工资福利支</w:t>
      </w:r>
      <w:r>
        <w:rPr>
          <w:rFonts w:hint="eastAsia" w:ascii="仿宋" w:hAnsi="仿宋" w:eastAsia="仿宋" w:cs="仿宋"/>
          <w:sz w:val="32"/>
          <w:szCs w:val="32"/>
          <w:lang w:val="en-US" w:eastAsia="zh-CN"/>
        </w:rPr>
        <w:t>1.80</w:t>
      </w:r>
      <w:r>
        <w:rPr>
          <w:rFonts w:hint="eastAsia" w:ascii="仿宋" w:hAnsi="仿宋" w:eastAsia="仿宋" w:cs="仿宋"/>
          <w:sz w:val="32"/>
          <w:szCs w:val="32"/>
        </w:rPr>
        <w:t>万元、生活补助</w:t>
      </w:r>
      <w:r>
        <w:rPr>
          <w:rFonts w:hint="eastAsia" w:ascii="仿宋" w:hAnsi="仿宋" w:eastAsia="仿宋" w:cs="仿宋"/>
          <w:sz w:val="32"/>
          <w:szCs w:val="32"/>
          <w:lang w:val="en-US" w:eastAsia="zh-CN"/>
        </w:rPr>
        <w:t>0.46</w:t>
      </w:r>
      <w:r>
        <w:rPr>
          <w:rFonts w:hint="eastAsia" w:ascii="仿宋" w:hAnsi="仿宋" w:eastAsia="仿宋" w:cs="仿宋"/>
          <w:sz w:val="32"/>
          <w:szCs w:val="32"/>
        </w:rPr>
        <w:t>万元、其他对个人和家庭的补助支出</w:t>
      </w:r>
      <w:r>
        <w:rPr>
          <w:rFonts w:hint="eastAsia" w:ascii="仿宋" w:hAnsi="仿宋" w:eastAsia="仿宋" w:cs="仿宋"/>
          <w:sz w:val="32"/>
          <w:szCs w:val="32"/>
          <w:lang w:val="en-US" w:eastAsia="zh-CN"/>
        </w:rPr>
        <w:t>5.26</w:t>
      </w:r>
      <w:r>
        <w:rPr>
          <w:rFonts w:hint="eastAsia" w:ascii="仿宋" w:hAnsi="仿宋" w:eastAsia="仿宋" w:cs="仿宋"/>
          <w:sz w:val="32"/>
          <w:szCs w:val="32"/>
        </w:rPr>
        <w:t>万元。</w:t>
      </w:r>
    </w:p>
    <w:p>
      <w:pPr>
        <w:spacing w:line="55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（二）公用经费</w:t>
      </w:r>
      <w:r>
        <w:rPr>
          <w:rFonts w:hint="eastAsia" w:ascii="仿宋" w:hAnsi="仿宋" w:eastAsia="仿宋" w:cs="仿宋"/>
          <w:sz w:val="32"/>
          <w:szCs w:val="32"/>
          <w:u w:val="none"/>
          <w:lang w:val="en-US" w:eastAsia="zh-CN"/>
        </w:rPr>
        <w:t>6.6</w:t>
      </w:r>
      <w:r>
        <w:rPr>
          <w:rFonts w:hint="eastAsia" w:ascii="仿宋" w:hAnsi="仿宋" w:eastAsia="仿宋" w:cs="仿宋"/>
          <w:sz w:val="32"/>
          <w:szCs w:val="32"/>
        </w:rPr>
        <w:t>万元。主要包括：办公费</w:t>
      </w:r>
      <w:r>
        <w:rPr>
          <w:rFonts w:hint="eastAsia" w:ascii="仿宋" w:hAnsi="仿宋" w:eastAsia="仿宋" w:cs="仿宋"/>
          <w:sz w:val="32"/>
          <w:szCs w:val="32"/>
          <w:lang w:val="en-US" w:eastAsia="zh-CN"/>
        </w:rPr>
        <w:t>1.25</w:t>
      </w:r>
      <w:r>
        <w:rPr>
          <w:rFonts w:hint="eastAsia" w:ascii="仿宋" w:hAnsi="仿宋" w:eastAsia="仿宋" w:cs="仿宋"/>
          <w:sz w:val="32"/>
          <w:szCs w:val="32"/>
        </w:rPr>
        <w:t>万元、</w:t>
      </w:r>
      <w:r>
        <w:rPr>
          <w:rFonts w:hint="eastAsia" w:ascii="仿宋" w:hAnsi="仿宋" w:eastAsia="仿宋" w:cs="仿宋"/>
          <w:sz w:val="32"/>
          <w:szCs w:val="32"/>
          <w:lang w:eastAsia="zh-CN"/>
        </w:rPr>
        <w:t>手续费</w:t>
      </w:r>
      <w:r>
        <w:rPr>
          <w:rFonts w:hint="eastAsia" w:ascii="仿宋" w:hAnsi="仿宋" w:eastAsia="仿宋" w:cs="仿宋"/>
          <w:sz w:val="32"/>
          <w:szCs w:val="32"/>
          <w:lang w:val="en-US" w:eastAsia="zh-CN"/>
        </w:rPr>
        <w:t>0.005万元、</w:t>
      </w:r>
      <w:r>
        <w:rPr>
          <w:rFonts w:hint="eastAsia" w:ascii="仿宋" w:hAnsi="仿宋" w:eastAsia="仿宋" w:cs="仿宋"/>
          <w:sz w:val="32"/>
          <w:szCs w:val="32"/>
        </w:rPr>
        <w:t>水费</w:t>
      </w:r>
      <w:r>
        <w:rPr>
          <w:rFonts w:hint="eastAsia" w:ascii="仿宋" w:hAnsi="仿宋" w:eastAsia="仿宋" w:cs="仿宋"/>
          <w:sz w:val="32"/>
          <w:szCs w:val="32"/>
          <w:lang w:val="en-US" w:eastAsia="zh-CN"/>
        </w:rPr>
        <w:t>0.16</w:t>
      </w:r>
      <w:r>
        <w:rPr>
          <w:rFonts w:hint="eastAsia" w:ascii="仿宋" w:hAnsi="仿宋" w:eastAsia="仿宋" w:cs="仿宋"/>
          <w:sz w:val="32"/>
          <w:szCs w:val="32"/>
        </w:rPr>
        <w:t>万元、电费</w:t>
      </w:r>
      <w:r>
        <w:rPr>
          <w:rFonts w:hint="eastAsia" w:ascii="仿宋" w:hAnsi="仿宋" w:eastAsia="仿宋" w:cs="仿宋"/>
          <w:sz w:val="32"/>
          <w:szCs w:val="32"/>
          <w:lang w:val="en-US" w:eastAsia="zh-CN"/>
        </w:rPr>
        <w:t>0.39</w:t>
      </w:r>
      <w:r>
        <w:rPr>
          <w:rFonts w:hint="eastAsia" w:ascii="仿宋" w:hAnsi="仿宋" w:eastAsia="仿宋" w:cs="仿宋"/>
          <w:sz w:val="32"/>
          <w:szCs w:val="32"/>
        </w:rPr>
        <w:t>万元、邮电费</w:t>
      </w:r>
      <w:r>
        <w:rPr>
          <w:rFonts w:hint="eastAsia" w:ascii="仿宋" w:hAnsi="仿宋" w:eastAsia="仿宋" w:cs="仿宋"/>
          <w:sz w:val="32"/>
          <w:szCs w:val="32"/>
          <w:lang w:val="en-US" w:eastAsia="zh-CN"/>
        </w:rPr>
        <w:t>0.1</w:t>
      </w:r>
      <w:r>
        <w:rPr>
          <w:rFonts w:hint="eastAsia" w:ascii="仿宋" w:hAnsi="仿宋" w:eastAsia="仿宋" w:cs="仿宋"/>
          <w:sz w:val="32"/>
          <w:szCs w:val="32"/>
        </w:rPr>
        <w:t>万元、取暖费</w:t>
      </w:r>
      <w:r>
        <w:rPr>
          <w:rFonts w:hint="eastAsia" w:ascii="仿宋" w:hAnsi="仿宋" w:eastAsia="仿宋" w:cs="仿宋"/>
          <w:sz w:val="32"/>
          <w:szCs w:val="32"/>
          <w:lang w:val="en-US" w:eastAsia="zh-CN"/>
        </w:rPr>
        <w:t>0.56</w:t>
      </w:r>
      <w:r>
        <w:rPr>
          <w:rFonts w:hint="eastAsia" w:ascii="仿宋" w:hAnsi="仿宋" w:eastAsia="仿宋" w:cs="仿宋"/>
          <w:sz w:val="32"/>
          <w:szCs w:val="32"/>
        </w:rPr>
        <w:t>万元、差旅费</w:t>
      </w:r>
      <w:r>
        <w:rPr>
          <w:rFonts w:hint="eastAsia" w:ascii="仿宋" w:hAnsi="仿宋" w:eastAsia="仿宋" w:cs="仿宋"/>
          <w:sz w:val="32"/>
          <w:szCs w:val="32"/>
          <w:lang w:val="en-US" w:eastAsia="zh-CN"/>
        </w:rPr>
        <w:t>1.18</w:t>
      </w:r>
      <w:r>
        <w:rPr>
          <w:rFonts w:hint="eastAsia" w:ascii="仿宋" w:hAnsi="仿宋" w:eastAsia="仿宋" w:cs="仿宋"/>
          <w:sz w:val="32"/>
          <w:szCs w:val="32"/>
        </w:rPr>
        <w:t>万元、劳务费</w:t>
      </w:r>
      <w:r>
        <w:rPr>
          <w:rFonts w:hint="eastAsia" w:ascii="仿宋" w:hAnsi="仿宋" w:eastAsia="仿宋" w:cs="仿宋"/>
          <w:sz w:val="32"/>
          <w:szCs w:val="32"/>
          <w:lang w:val="en-US" w:eastAsia="zh-CN"/>
        </w:rPr>
        <w:t>0.6</w:t>
      </w:r>
      <w:r>
        <w:rPr>
          <w:rFonts w:hint="eastAsia" w:ascii="仿宋" w:hAnsi="仿宋" w:eastAsia="仿宋" w:cs="仿宋"/>
          <w:sz w:val="32"/>
          <w:szCs w:val="32"/>
        </w:rPr>
        <w:t>万元、工会经费</w:t>
      </w:r>
      <w:r>
        <w:rPr>
          <w:rFonts w:hint="eastAsia" w:ascii="仿宋" w:hAnsi="仿宋" w:eastAsia="仿宋" w:cs="仿宋"/>
          <w:sz w:val="32"/>
          <w:szCs w:val="32"/>
          <w:lang w:val="en-US" w:eastAsia="zh-CN"/>
        </w:rPr>
        <w:t>1.24</w:t>
      </w:r>
      <w:r>
        <w:rPr>
          <w:rFonts w:hint="eastAsia" w:ascii="仿宋" w:hAnsi="仿宋" w:eastAsia="仿宋" w:cs="仿宋"/>
          <w:sz w:val="32"/>
          <w:szCs w:val="32"/>
        </w:rPr>
        <w:t>万元、其他交通费用</w:t>
      </w:r>
      <w:r>
        <w:rPr>
          <w:rFonts w:hint="eastAsia" w:ascii="仿宋" w:hAnsi="仿宋" w:eastAsia="仿宋" w:cs="仿宋"/>
          <w:sz w:val="32"/>
          <w:szCs w:val="32"/>
          <w:lang w:val="en-US" w:eastAsia="zh-CN"/>
        </w:rPr>
        <w:t>0.35</w:t>
      </w:r>
      <w:r>
        <w:rPr>
          <w:rFonts w:hint="eastAsia" w:ascii="仿宋" w:hAnsi="仿宋" w:eastAsia="仿宋" w:cs="仿宋"/>
          <w:sz w:val="32"/>
          <w:szCs w:val="32"/>
        </w:rPr>
        <w:t>万元、其他商品和服务支出</w:t>
      </w:r>
      <w:r>
        <w:rPr>
          <w:rFonts w:hint="eastAsia" w:ascii="仿宋" w:hAnsi="仿宋" w:eastAsia="仿宋" w:cs="仿宋"/>
          <w:sz w:val="32"/>
          <w:szCs w:val="32"/>
          <w:lang w:val="en-US" w:eastAsia="zh-CN"/>
        </w:rPr>
        <w:t>0.77</w:t>
      </w:r>
      <w:r>
        <w:rPr>
          <w:rFonts w:hint="eastAsia" w:ascii="仿宋" w:hAnsi="仿宋" w:eastAsia="仿宋" w:cs="仿宋"/>
          <w:sz w:val="32"/>
          <w:szCs w:val="32"/>
        </w:rPr>
        <w:t>万元。</w:t>
      </w:r>
    </w:p>
    <w:p>
      <w:pPr>
        <w:spacing w:line="550" w:lineRule="exact"/>
        <w:ind w:firstLine="643" w:firstLineChars="200"/>
        <w:rPr>
          <w:rStyle w:val="7"/>
          <w:rFonts w:hint="eastAsia" w:ascii="仿宋_GB2312" w:eastAsia="仿宋_GB2312"/>
          <w:b/>
          <w:szCs w:val="32"/>
        </w:rPr>
      </w:pPr>
      <w:r>
        <w:rPr>
          <w:rStyle w:val="7"/>
          <w:rFonts w:hint="eastAsia" w:ascii="仿宋_GB2312" w:eastAsia="仿宋_GB2312"/>
          <w:b/>
          <w:szCs w:val="32"/>
        </w:rPr>
        <w:t>七、一般公共预算“三公”经费支出预算情况说明</w:t>
      </w:r>
    </w:p>
    <w:p>
      <w:pPr>
        <w:spacing w:line="550" w:lineRule="exact"/>
        <w:ind w:firstLine="640" w:firstLineChars="200"/>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本部门本年度无“三公”经费决算支出。</w:t>
      </w:r>
    </w:p>
    <w:p>
      <w:pPr>
        <w:spacing w:line="550" w:lineRule="exact"/>
        <w:ind w:firstLine="643" w:firstLineChars="200"/>
        <w:rPr>
          <w:rStyle w:val="7"/>
          <w:rFonts w:ascii="仿宋" w:hAnsi="仿宋" w:eastAsia="仿宋"/>
          <w:b/>
          <w:bCs/>
          <w:sz w:val="32"/>
          <w:szCs w:val="32"/>
        </w:rPr>
      </w:pPr>
      <w:r>
        <w:rPr>
          <w:rStyle w:val="7"/>
          <w:rFonts w:hint="eastAsia" w:ascii="仿宋" w:hAnsi="仿宋" w:eastAsia="仿宋"/>
          <w:b/>
          <w:bCs/>
          <w:sz w:val="32"/>
          <w:szCs w:val="32"/>
          <w:lang w:eastAsia="zh-CN"/>
        </w:rPr>
        <w:t>八</w:t>
      </w:r>
      <w:r>
        <w:rPr>
          <w:rStyle w:val="7"/>
          <w:rFonts w:ascii="仿宋" w:hAnsi="仿宋" w:eastAsia="仿宋"/>
          <w:b/>
          <w:bCs/>
          <w:sz w:val="32"/>
          <w:szCs w:val="32"/>
        </w:rPr>
        <w:t>、</w:t>
      </w:r>
      <w:r>
        <w:rPr>
          <w:rStyle w:val="7"/>
          <w:rFonts w:hint="eastAsia" w:ascii="仿宋" w:hAnsi="仿宋" w:eastAsia="仿宋"/>
          <w:b/>
          <w:bCs/>
          <w:sz w:val="32"/>
          <w:szCs w:val="32"/>
        </w:rPr>
        <w:t>政府性基金预算财政拨款收入支出决算表</w:t>
      </w:r>
      <w:r>
        <w:rPr>
          <w:rStyle w:val="7"/>
          <w:rFonts w:ascii="仿宋" w:hAnsi="仿宋" w:eastAsia="仿宋"/>
          <w:b/>
          <w:bCs/>
          <w:sz w:val="32"/>
          <w:szCs w:val="32"/>
        </w:rPr>
        <w:t>说明</w:t>
      </w:r>
    </w:p>
    <w:p>
      <w:pPr>
        <w:spacing w:line="550" w:lineRule="exact"/>
        <w:ind w:firstLine="640" w:firstLineChars="200"/>
        <w:rPr>
          <w:rStyle w:val="7"/>
          <w:rFonts w:hint="eastAsia" w:ascii="仿宋" w:hAnsi="仿宋" w:eastAsia="仿宋"/>
          <w:b w:val="0"/>
          <w:bCs w:val="0"/>
          <w:sz w:val="32"/>
          <w:szCs w:val="32"/>
          <w:lang w:val="en-US" w:eastAsia="zh-CN"/>
        </w:rPr>
      </w:pPr>
      <w:r>
        <w:rPr>
          <w:rStyle w:val="7"/>
          <w:rFonts w:hint="eastAsia" w:ascii="仿宋" w:hAnsi="仿宋" w:eastAsia="仿宋"/>
          <w:b w:val="0"/>
          <w:bCs w:val="0"/>
          <w:sz w:val="32"/>
          <w:szCs w:val="32"/>
          <w:lang w:val="en-US" w:eastAsia="zh-CN"/>
        </w:rPr>
        <w:t>本部门本年度无政府性基金。</w:t>
      </w:r>
    </w:p>
    <w:p>
      <w:pPr>
        <w:numPr>
          <w:ilvl w:val="0"/>
          <w:numId w:val="0"/>
        </w:numPr>
        <w:spacing w:line="550" w:lineRule="exact"/>
        <w:ind w:firstLine="643" w:firstLineChars="200"/>
        <w:rPr>
          <w:rFonts w:hint="eastAsia"/>
          <w:szCs w:val="32"/>
          <w:u w:val="none"/>
          <w:lang w:val="en-US" w:eastAsia="zh-CN"/>
        </w:rPr>
      </w:pPr>
      <w:r>
        <w:rPr>
          <w:rStyle w:val="7"/>
          <w:rFonts w:hint="eastAsia" w:ascii="仿宋" w:hAnsi="仿宋" w:eastAsia="仿宋"/>
          <w:b/>
          <w:bCs/>
          <w:sz w:val="32"/>
          <w:szCs w:val="32"/>
          <w:lang w:val="en-US" w:eastAsia="zh-CN"/>
        </w:rPr>
        <w:t>九</w:t>
      </w:r>
      <w:r>
        <w:rPr>
          <w:rStyle w:val="7"/>
          <w:rFonts w:hint="eastAsia" w:ascii="仿宋" w:hAnsi="仿宋" w:eastAsia="仿宋"/>
          <w:b/>
          <w:bCs/>
          <w:sz w:val="32"/>
          <w:szCs w:val="32"/>
        </w:rPr>
        <w:t>、</w:t>
      </w:r>
      <w:r>
        <w:rPr>
          <w:rStyle w:val="7"/>
          <w:rFonts w:hint="eastAsia" w:ascii="仿宋" w:hAnsi="仿宋" w:eastAsia="仿宋"/>
          <w:b/>
          <w:bCs/>
          <w:sz w:val="32"/>
          <w:szCs w:val="32"/>
          <w:lang w:val="en-US" w:eastAsia="zh-CN"/>
        </w:rPr>
        <w:t>一般公共预算机关运行经费支出预算情况说明</w:t>
      </w:r>
    </w:p>
    <w:p>
      <w:pPr>
        <w:spacing w:line="550" w:lineRule="exact"/>
        <w:ind w:firstLine="640" w:firstLineChars="200"/>
        <w:rPr>
          <w:rStyle w:val="7"/>
          <w:rFonts w:hint="eastAsia" w:ascii="仿宋" w:hAnsi="仿宋" w:eastAsia="仿宋"/>
          <w:b w:val="0"/>
          <w:bCs w:val="0"/>
          <w:sz w:val="32"/>
          <w:szCs w:val="32"/>
          <w:lang w:val="en-US" w:eastAsia="zh-CN"/>
        </w:rPr>
      </w:pPr>
      <w:r>
        <w:rPr>
          <w:rStyle w:val="7"/>
          <w:rFonts w:hint="eastAsia" w:ascii="仿宋" w:hAnsi="仿宋" w:eastAsia="仿宋"/>
          <w:b w:val="0"/>
          <w:bCs w:val="0"/>
          <w:sz w:val="32"/>
          <w:szCs w:val="32"/>
        </w:rPr>
        <w:t>本部门</w:t>
      </w:r>
      <w:r>
        <w:rPr>
          <w:rStyle w:val="7"/>
          <w:rFonts w:hint="eastAsia" w:ascii="仿宋" w:hAnsi="仿宋" w:eastAsia="仿宋"/>
          <w:b w:val="0"/>
          <w:bCs w:val="0"/>
          <w:sz w:val="32"/>
          <w:szCs w:val="32"/>
          <w:lang w:val="en-US" w:eastAsia="zh-CN"/>
        </w:rPr>
        <w:t>本年度</w:t>
      </w:r>
      <w:r>
        <w:rPr>
          <w:rStyle w:val="7"/>
          <w:rFonts w:hint="eastAsia" w:ascii="仿宋" w:hAnsi="仿宋" w:eastAsia="仿宋"/>
          <w:b w:val="0"/>
          <w:bCs w:val="0"/>
          <w:sz w:val="32"/>
          <w:szCs w:val="32"/>
        </w:rPr>
        <w:t>机关运行经费支出</w:t>
      </w:r>
      <w:r>
        <w:rPr>
          <w:rStyle w:val="7"/>
          <w:rFonts w:hint="eastAsia" w:ascii="仿宋" w:hAnsi="仿宋" w:eastAsia="仿宋"/>
          <w:b w:val="0"/>
          <w:bCs w:val="0"/>
          <w:sz w:val="32"/>
          <w:szCs w:val="32"/>
          <w:lang w:val="en-US" w:eastAsia="zh-CN"/>
        </w:rPr>
        <w:t>0</w:t>
      </w:r>
      <w:r>
        <w:rPr>
          <w:rStyle w:val="7"/>
          <w:rFonts w:hint="eastAsia" w:ascii="仿宋" w:hAnsi="仿宋" w:eastAsia="仿宋"/>
          <w:b w:val="0"/>
          <w:bCs w:val="0"/>
          <w:sz w:val="32"/>
          <w:szCs w:val="32"/>
        </w:rPr>
        <w:t>万元，</w:t>
      </w:r>
      <w:r>
        <w:rPr>
          <w:rStyle w:val="7"/>
          <w:rFonts w:hint="eastAsia" w:ascii="仿宋" w:hAnsi="仿宋" w:eastAsia="仿宋"/>
          <w:b w:val="0"/>
          <w:bCs w:val="0"/>
          <w:sz w:val="32"/>
          <w:szCs w:val="32"/>
          <w:lang w:val="en-US" w:eastAsia="zh-CN"/>
        </w:rPr>
        <w:t>与上年持平。</w:t>
      </w:r>
    </w:p>
    <w:p>
      <w:pPr>
        <w:spacing w:line="550" w:lineRule="exact"/>
        <w:ind w:firstLine="643" w:firstLineChars="200"/>
        <w:rPr>
          <w:rStyle w:val="7"/>
          <w:rFonts w:hint="eastAsia" w:ascii="仿宋" w:hAnsi="仿宋" w:eastAsia="仿宋"/>
          <w:b/>
          <w:bCs/>
          <w:sz w:val="32"/>
          <w:szCs w:val="32"/>
        </w:rPr>
      </w:pPr>
      <w:r>
        <w:rPr>
          <w:rStyle w:val="7"/>
          <w:rFonts w:hint="eastAsia" w:ascii="仿宋" w:hAnsi="仿宋" w:eastAsia="仿宋"/>
          <w:b/>
          <w:bCs/>
          <w:sz w:val="32"/>
          <w:szCs w:val="32"/>
          <w:lang w:val="en-US" w:eastAsia="zh-CN"/>
        </w:rPr>
        <w:t>十、</w:t>
      </w:r>
      <w:r>
        <w:rPr>
          <w:rStyle w:val="7"/>
          <w:rFonts w:hint="eastAsia" w:ascii="仿宋" w:hAnsi="仿宋" w:eastAsia="仿宋"/>
          <w:b/>
          <w:bCs/>
          <w:sz w:val="32"/>
          <w:szCs w:val="32"/>
        </w:rPr>
        <w:t>政府采购支出决算情况说明</w:t>
      </w:r>
    </w:p>
    <w:p>
      <w:pPr>
        <w:spacing w:line="550" w:lineRule="exact"/>
        <w:ind w:firstLine="640" w:firstLineChars="200"/>
        <w:rPr>
          <w:rStyle w:val="7"/>
          <w:rFonts w:hint="eastAsia" w:ascii="仿宋" w:hAnsi="仿宋" w:eastAsia="仿宋"/>
          <w:b w:val="0"/>
          <w:bCs w:val="0"/>
          <w:sz w:val="32"/>
          <w:szCs w:val="32"/>
        </w:rPr>
      </w:pPr>
      <w:r>
        <w:rPr>
          <w:rStyle w:val="7"/>
          <w:rFonts w:hint="eastAsia" w:ascii="仿宋" w:hAnsi="仿宋" w:eastAsia="仿宋"/>
          <w:b w:val="0"/>
          <w:bCs w:val="0"/>
          <w:sz w:val="32"/>
          <w:szCs w:val="32"/>
          <w:lang w:val="en-US" w:eastAsia="zh-CN"/>
        </w:rPr>
        <w:t>本部门本</w:t>
      </w:r>
      <w:r>
        <w:rPr>
          <w:rStyle w:val="7"/>
          <w:rFonts w:hint="eastAsia" w:ascii="仿宋" w:hAnsi="仿宋" w:eastAsia="仿宋"/>
          <w:b w:val="0"/>
          <w:bCs w:val="0"/>
          <w:sz w:val="32"/>
          <w:szCs w:val="32"/>
        </w:rPr>
        <w:t>年度</w:t>
      </w:r>
      <w:r>
        <w:rPr>
          <w:rStyle w:val="7"/>
          <w:rFonts w:hint="eastAsia" w:ascii="仿宋" w:hAnsi="仿宋" w:eastAsia="仿宋"/>
          <w:b w:val="0"/>
          <w:bCs w:val="0"/>
          <w:sz w:val="32"/>
          <w:szCs w:val="32"/>
          <w:lang w:val="en-US" w:eastAsia="zh-CN"/>
        </w:rPr>
        <w:t>无</w:t>
      </w:r>
      <w:r>
        <w:rPr>
          <w:rStyle w:val="7"/>
          <w:rFonts w:hint="eastAsia" w:ascii="仿宋" w:hAnsi="仿宋" w:eastAsia="仿宋"/>
          <w:b w:val="0"/>
          <w:bCs w:val="0"/>
          <w:sz w:val="32"/>
          <w:szCs w:val="32"/>
        </w:rPr>
        <w:t>政府采购支出</w:t>
      </w:r>
      <w:r>
        <w:rPr>
          <w:rStyle w:val="7"/>
          <w:rFonts w:hint="eastAsia" w:ascii="仿宋" w:hAnsi="仿宋" w:eastAsia="仿宋"/>
          <w:b w:val="0"/>
          <w:bCs w:val="0"/>
          <w:sz w:val="32"/>
          <w:szCs w:val="32"/>
          <w:lang w:eastAsia="zh-CN"/>
        </w:rPr>
        <w:t>。</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w:t>
      </w:r>
      <w:r>
        <w:rPr>
          <w:rStyle w:val="7"/>
          <w:rFonts w:hint="eastAsia" w:ascii="仿宋" w:hAnsi="仿宋" w:eastAsia="仿宋"/>
          <w:b/>
          <w:szCs w:val="32"/>
          <w:lang w:val="en-US" w:eastAsia="zh-CN"/>
        </w:rPr>
        <w:t>一</w:t>
      </w:r>
      <w:r>
        <w:rPr>
          <w:rStyle w:val="7"/>
          <w:rFonts w:ascii="仿宋" w:hAnsi="仿宋" w:eastAsia="仿宋"/>
          <w:b/>
          <w:szCs w:val="32"/>
        </w:rPr>
        <w:t>、国有资产占用情况</w:t>
      </w:r>
    </w:p>
    <w:p>
      <w:pPr>
        <w:spacing w:line="550" w:lineRule="exact"/>
        <w:ind w:firstLine="640" w:firstLineChars="200"/>
        <w:rPr>
          <w:rStyle w:val="7"/>
          <w:rFonts w:hint="default" w:ascii="仿宋" w:hAnsi="仿宋" w:eastAsia="仿宋"/>
          <w:b w:val="0"/>
          <w:bCs w:val="0"/>
          <w:sz w:val="32"/>
          <w:szCs w:val="32"/>
          <w:lang w:val="en-US" w:eastAsia="zh-CN"/>
        </w:rPr>
      </w:pPr>
      <w:r>
        <w:rPr>
          <w:rStyle w:val="7"/>
          <w:rFonts w:hint="eastAsia" w:ascii="仿宋" w:hAnsi="仿宋" w:eastAsia="仿宋"/>
          <w:b w:val="0"/>
          <w:bCs w:val="0"/>
          <w:sz w:val="32"/>
          <w:szCs w:val="32"/>
          <w:lang w:val="en-US" w:eastAsia="zh-CN"/>
        </w:rPr>
        <w:t>1.车辆情况。本部门无车辆。</w:t>
      </w:r>
    </w:p>
    <w:p>
      <w:pPr>
        <w:spacing w:line="550" w:lineRule="exact"/>
        <w:ind w:firstLine="640" w:firstLineChars="200"/>
        <w:rPr>
          <w:rFonts w:hint="eastAsia" w:ascii="仿宋" w:hAnsi="仿宋" w:eastAsia="仿宋" w:cs="仿宋"/>
          <w:szCs w:val="32"/>
          <w:u w:val="none"/>
          <w:lang w:val="en-US" w:eastAsia="zh-CN"/>
        </w:rPr>
      </w:pPr>
      <w:r>
        <w:rPr>
          <w:rStyle w:val="7"/>
          <w:rFonts w:hint="eastAsia" w:ascii="仿宋" w:hAnsi="仿宋" w:eastAsia="仿宋"/>
          <w:b w:val="0"/>
          <w:bCs w:val="0"/>
          <w:sz w:val="32"/>
          <w:szCs w:val="32"/>
          <w:lang w:val="en-US" w:eastAsia="zh-CN"/>
        </w:rPr>
        <w:t>2.土地房屋情况。</w:t>
      </w:r>
      <w:r>
        <w:rPr>
          <w:rFonts w:hint="eastAsia" w:ascii="仿宋" w:hAnsi="仿宋" w:eastAsia="仿宋" w:cs="仿宋"/>
          <w:szCs w:val="32"/>
          <w:u w:val="none"/>
          <w:lang w:val="en-US" w:eastAsia="zh-CN"/>
        </w:rPr>
        <w:t>本部门无土地、无房屋。</w:t>
      </w:r>
    </w:p>
    <w:p>
      <w:pPr>
        <w:spacing w:line="550" w:lineRule="exact"/>
        <w:ind w:firstLine="640" w:firstLineChars="200"/>
        <w:rPr>
          <w:rStyle w:val="7"/>
          <w:rFonts w:hint="default" w:ascii="仿宋" w:hAnsi="仿宋" w:eastAsia="仿宋"/>
          <w:b w:val="0"/>
          <w:bCs w:val="0"/>
          <w:sz w:val="32"/>
          <w:szCs w:val="32"/>
          <w:lang w:val="en-US" w:eastAsia="zh-CN"/>
        </w:rPr>
      </w:pPr>
      <w:r>
        <w:rPr>
          <w:rFonts w:hint="eastAsia" w:ascii="仿宋" w:hAnsi="仿宋" w:eastAsia="仿宋" w:cs="仿宋"/>
          <w:szCs w:val="32"/>
          <w:u w:val="none"/>
          <w:lang w:val="en-US" w:eastAsia="zh-CN"/>
        </w:rPr>
        <w:t>3.其他国有资产占有使用情况。其他国有资产主要包括单位办公使用的电脑、办公桌椅等，没有50万元以上的通用设备和100万元以上的专用设备。</w:t>
      </w:r>
    </w:p>
    <w:p>
      <w:pPr>
        <w:spacing w:line="550" w:lineRule="exact"/>
        <w:ind w:firstLine="643" w:firstLineChars="200"/>
        <w:rPr>
          <w:rStyle w:val="7"/>
          <w:rFonts w:ascii="仿宋" w:hAnsi="仿宋" w:eastAsia="仿宋"/>
          <w:b/>
          <w:szCs w:val="32"/>
        </w:rPr>
      </w:pPr>
      <w:r>
        <w:rPr>
          <w:rStyle w:val="7"/>
          <w:rFonts w:ascii="仿宋" w:hAnsi="仿宋" w:eastAsia="仿宋"/>
          <w:b/>
          <w:szCs w:val="32"/>
        </w:rPr>
        <w:t>十</w:t>
      </w:r>
      <w:r>
        <w:rPr>
          <w:rStyle w:val="7"/>
          <w:rFonts w:hint="eastAsia" w:ascii="仿宋" w:hAnsi="仿宋" w:eastAsia="仿宋"/>
          <w:b/>
          <w:szCs w:val="32"/>
          <w:lang w:val="en-US" w:eastAsia="zh-CN"/>
        </w:rPr>
        <w:t>二</w:t>
      </w:r>
      <w:r>
        <w:rPr>
          <w:rStyle w:val="7"/>
          <w:rFonts w:ascii="仿宋" w:hAnsi="仿宋" w:eastAsia="仿宋"/>
          <w:b/>
          <w:szCs w:val="32"/>
        </w:rPr>
        <w:t>、预算绩效评价工作开展情况</w:t>
      </w:r>
    </w:p>
    <w:p>
      <w:pPr>
        <w:spacing w:line="55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本部门</w:t>
      </w:r>
      <w:r>
        <w:rPr>
          <w:rFonts w:hint="eastAsia" w:ascii="仿宋" w:hAnsi="仿宋" w:eastAsia="仿宋" w:cs="仿宋"/>
          <w:sz w:val="32"/>
          <w:szCs w:val="32"/>
          <w:lang w:val="en-US" w:eastAsia="zh-CN"/>
        </w:rPr>
        <w:t>本</w:t>
      </w:r>
      <w:r>
        <w:rPr>
          <w:rFonts w:hint="eastAsia" w:ascii="仿宋" w:hAnsi="仿宋" w:eastAsia="仿宋" w:cs="仿宋"/>
          <w:sz w:val="32"/>
          <w:szCs w:val="32"/>
        </w:rPr>
        <w:t>年度</w:t>
      </w:r>
      <w:r>
        <w:rPr>
          <w:rFonts w:hint="eastAsia" w:ascii="仿宋" w:hAnsi="仿宋" w:eastAsia="仿宋" w:cs="仿宋"/>
          <w:sz w:val="32"/>
          <w:szCs w:val="32"/>
          <w:lang w:eastAsia="zh-CN"/>
        </w:rPr>
        <w:t>不存在</w:t>
      </w:r>
      <w:r>
        <w:rPr>
          <w:rFonts w:hint="eastAsia" w:ascii="仿宋" w:hAnsi="仿宋" w:eastAsia="仿宋" w:cs="仿宋"/>
          <w:sz w:val="32"/>
          <w:szCs w:val="32"/>
        </w:rPr>
        <w:t>绩效评价工作</w:t>
      </w:r>
      <w:r>
        <w:rPr>
          <w:rFonts w:hint="eastAsia" w:ascii="仿宋" w:hAnsi="仿宋" w:eastAsia="仿宋" w:cs="仿宋"/>
          <w:sz w:val="32"/>
          <w:szCs w:val="32"/>
          <w:lang w:eastAsia="zh-CN"/>
        </w:rPr>
        <w:t>。</w:t>
      </w: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pStyle w:val="2"/>
        <w:rPr>
          <w:rStyle w:val="7"/>
          <w:rFonts w:hint="eastAsia" w:ascii="黑体" w:hAnsi="黑体" w:eastAsia="黑体"/>
          <w:szCs w:val="32"/>
        </w:rPr>
      </w:pPr>
    </w:p>
    <w:p>
      <w:pPr>
        <w:pStyle w:val="2"/>
        <w:rPr>
          <w:rStyle w:val="7"/>
          <w:rFonts w:hint="eastAsia" w:ascii="黑体" w:hAnsi="黑体" w:eastAsia="黑体"/>
          <w:szCs w:val="32"/>
        </w:rPr>
      </w:pPr>
    </w:p>
    <w:p>
      <w:pPr>
        <w:pStyle w:val="2"/>
        <w:rPr>
          <w:rStyle w:val="7"/>
          <w:rFonts w:hint="eastAsia" w:ascii="黑体" w:hAnsi="黑体" w:eastAsia="黑体"/>
          <w:szCs w:val="32"/>
        </w:rPr>
      </w:pPr>
    </w:p>
    <w:p>
      <w:pPr>
        <w:pStyle w:val="2"/>
        <w:rPr>
          <w:rStyle w:val="7"/>
          <w:rFonts w:hint="eastAsia" w:ascii="黑体" w:hAnsi="黑体" w:eastAsia="黑体"/>
          <w:szCs w:val="32"/>
        </w:rPr>
      </w:pPr>
    </w:p>
    <w:p>
      <w:pPr>
        <w:pStyle w:val="2"/>
        <w:rPr>
          <w:rStyle w:val="7"/>
          <w:rFonts w:hint="eastAsia" w:ascii="黑体" w:hAnsi="黑体" w:eastAsia="黑体"/>
          <w:szCs w:val="32"/>
        </w:rPr>
      </w:pPr>
    </w:p>
    <w:p>
      <w:pPr>
        <w:pStyle w:val="2"/>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p>
    <w:p>
      <w:pPr>
        <w:spacing w:before="312" w:beforeAutospacing="1" w:after="312" w:afterAutospacing="1" w:line="550" w:lineRule="exact"/>
        <w:ind w:firstLine="0"/>
        <w:jc w:val="center"/>
        <w:rPr>
          <w:rStyle w:val="7"/>
          <w:rFonts w:hint="eastAsia" w:ascii="黑体" w:hAnsi="黑体" w:eastAsia="黑体"/>
          <w:szCs w:val="32"/>
        </w:rPr>
      </w:pPr>
      <w:r>
        <w:rPr>
          <w:rStyle w:val="7"/>
          <w:rFonts w:hint="eastAsia" w:ascii="黑体" w:hAnsi="黑体" w:eastAsia="黑体"/>
          <w:szCs w:val="32"/>
        </w:rPr>
        <w:t>第四部分　名词解释</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一、财政拨款：</w:t>
      </w:r>
      <w:r>
        <w:rPr>
          <w:rStyle w:val="7"/>
          <w:rFonts w:hint="eastAsia" w:ascii="仿宋_GB2312" w:eastAsia="仿宋_GB2312"/>
          <w:szCs w:val="32"/>
        </w:rPr>
        <w:t>指一般公共预算财政拨款和政府性基金预算财政拨款。</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二、一般公共预算：</w:t>
      </w:r>
      <w:r>
        <w:rPr>
          <w:rStyle w:val="7"/>
          <w:rFonts w:hint="eastAsia" w:ascii="仿宋_GB2312" w:eastAsia="仿宋_GB2312"/>
          <w:szCs w:val="32"/>
        </w:rPr>
        <w:t>包括公共财政拨款（补助）资金、专项收入。</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三、财政专户管理资金：</w:t>
      </w:r>
      <w:r>
        <w:rPr>
          <w:rStyle w:val="7"/>
          <w:rFonts w:hint="eastAsia" w:ascii="仿宋_GB2312" w:eastAsia="仿宋_GB2312"/>
          <w:szCs w:val="32"/>
        </w:rPr>
        <w:t>包括专户管理行政事业性收费（主要是教育收费）、其他非税收入。</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四、其他资金：</w:t>
      </w:r>
      <w:r>
        <w:rPr>
          <w:rStyle w:val="7"/>
          <w:rFonts w:hint="eastAsia" w:ascii="仿宋_GB2312" w:eastAsia="仿宋_GB2312"/>
          <w:szCs w:val="32"/>
        </w:rPr>
        <w:t>包括事业收入、经营收入、其他收入等。</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五、基本支出：</w:t>
      </w:r>
      <w:r>
        <w:rPr>
          <w:rStyle w:val="7"/>
          <w:rFonts w:hint="eastAsia" w:ascii="仿宋_GB2312" w:eastAsia="仿宋_GB2312"/>
          <w:szCs w:val="32"/>
        </w:rPr>
        <w:t>指为保障机构正常运转、完成工作任务而发生的人员支出和公用支出。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六、项目支出：</w:t>
      </w:r>
      <w:r>
        <w:rPr>
          <w:rStyle w:val="7"/>
          <w:rFonts w:hint="eastAsia" w:ascii="仿宋_GB2312" w:eastAsia="仿宋_GB2312"/>
          <w:szCs w:val="32"/>
        </w:rPr>
        <w:t>指在基本支出之外为完成特定工作任务和事业发展目标所发生的支出。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七、单位预留机动经费：</w:t>
      </w:r>
      <w:r>
        <w:rPr>
          <w:rStyle w:val="7"/>
          <w:rFonts w:hint="eastAsia" w:ascii="仿宋_GB2312" w:eastAsia="仿宋_GB2312"/>
          <w:szCs w:val="32"/>
        </w:rPr>
        <w:t>指预算单位年初预留用于年度执行中增人、增资等不可预见支出的经费。</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八、“三公”经费</w:t>
      </w:r>
      <w:r>
        <w:rPr>
          <w:rStyle w:val="7"/>
          <w:rFonts w:hint="eastAsia" w:ascii="仿宋_GB2312" w:eastAsia="仿宋_GB231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spacing w:line="550" w:lineRule="exact"/>
        <w:ind w:firstLine="643" w:firstLineChars="200"/>
        <w:rPr>
          <w:rStyle w:val="7"/>
          <w:rFonts w:hint="eastAsia" w:ascii="仿宋_GB2312" w:eastAsia="仿宋_GB2312"/>
          <w:szCs w:val="32"/>
        </w:rPr>
      </w:pPr>
      <w:r>
        <w:rPr>
          <w:rStyle w:val="7"/>
          <w:rFonts w:hint="eastAsia" w:ascii="仿宋_GB2312" w:eastAsia="仿宋_GB2312"/>
          <w:b/>
          <w:szCs w:val="32"/>
        </w:rPr>
        <w:t>九、机关运行经费</w:t>
      </w:r>
      <w:r>
        <w:rPr>
          <w:rStyle w:val="7"/>
          <w:rFonts w:hint="eastAsia" w:ascii="仿宋_GB2312" w:eastAsia="仿宋_GB2312"/>
          <w:szCs w:val="32"/>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w:t>
      </w:r>
    </w:p>
    <w:p>
      <w:pPr>
        <w:spacing w:line="550" w:lineRule="exact"/>
        <w:ind w:firstLine="640" w:firstLineChars="200"/>
        <w:rPr>
          <w:rStyle w:val="7"/>
          <w:rFonts w:hint="eastAsia" w:ascii="仿宋_GB2312" w:eastAsia="仿宋_GB2312"/>
          <w:szCs w:val="32"/>
        </w:rPr>
      </w:pPr>
    </w:p>
    <w:p>
      <w:pPr>
        <w:ind w:firstLine="0"/>
        <w:rPr>
          <w:rStyle w:val="7"/>
          <w:rFonts w:hint="eastAsia" w:ascii="仿宋_GB2312" w:eastAsia="仿宋_GB2312"/>
          <w:szCs w:val="32"/>
        </w:rPr>
      </w:pPr>
    </w:p>
    <w:sectPr>
      <w:footerReference r:id="rId3" w:type="default"/>
      <w:footerReference r:id="rId4" w:type="even"/>
      <w:pgSz w:w="11906" w:h="16838"/>
      <w:pgMar w:top="1814"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黑体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17445854"/>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ind w:right="360"/>
      <w:rPr>
        <w:rStyle w:val="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1"/>
      <w:rPr>
        <w:rStyle w:val="17"/>
      </w:rPr>
    </w:pPr>
  </w:p>
  <w:p>
    <w:pPr>
      <w:pStyle w:val="3"/>
      <w:ind w:right="360"/>
      <w:rPr>
        <w:rStyle w:val="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CBD42"/>
    <w:multiLevelType w:val="singleLevel"/>
    <w:tmpl w:val="60ACBD42"/>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19D"/>
    <w:rsid w:val="000207FD"/>
    <w:rsid w:val="000735F8"/>
    <w:rsid w:val="000A605C"/>
    <w:rsid w:val="000C514E"/>
    <w:rsid w:val="00146E65"/>
    <w:rsid w:val="00167C23"/>
    <w:rsid w:val="0017200A"/>
    <w:rsid w:val="00193769"/>
    <w:rsid w:val="001940FB"/>
    <w:rsid w:val="001A4428"/>
    <w:rsid w:val="001E4BBE"/>
    <w:rsid w:val="002076A8"/>
    <w:rsid w:val="00216219"/>
    <w:rsid w:val="00222BD1"/>
    <w:rsid w:val="00241D9C"/>
    <w:rsid w:val="00245100"/>
    <w:rsid w:val="00265DB5"/>
    <w:rsid w:val="00271CDB"/>
    <w:rsid w:val="002A479C"/>
    <w:rsid w:val="002E6BED"/>
    <w:rsid w:val="003216C9"/>
    <w:rsid w:val="00325C0D"/>
    <w:rsid w:val="00340A4C"/>
    <w:rsid w:val="00354388"/>
    <w:rsid w:val="003667CD"/>
    <w:rsid w:val="003B25F5"/>
    <w:rsid w:val="003C0AC5"/>
    <w:rsid w:val="003F64C9"/>
    <w:rsid w:val="00445421"/>
    <w:rsid w:val="00495676"/>
    <w:rsid w:val="004A5634"/>
    <w:rsid w:val="00533F52"/>
    <w:rsid w:val="005A6AFE"/>
    <w:rsid w:val="005B3DA9"/>
    <w:rsid w:val="005C6A63"/>
    <w:rsid w:val="00660207"/>
    <w:rsid w:val="00680A0F"/>
    <w:rsid w:val="006A7653"/>
    <w:rsid w:val="006C2DFD"/>
    <w:rsid w:val="006D5FF4"/>
    <w:rsid w:val="006F4065"/>
    <w:rsid w:val="00704CD1"/>
    <w:rsid w:val="0071719D"/>
    <w:rsid w:val="007247A5"/>
    <w:rsid w:val="00897DE2"/>
    <w:rsid w:val="008B5EB3"/>
    <w:rsid w:val="00917A46"/>
    <w:rsid w:val="009502AD"/>
    <w:rsid w:val="0097706F"/>
    <w:rsid w:val="00981582"/>
    <w:rsid w:val="00A33E93"/>
    <w:rsid w:val="00A92223"/>
    <w:rsid w:val="00A93E21"/>
    <w:rsid w:val="00AA2152"/>
    <w:rsid w:val="00AB01F8"/>
    <w:rsid w:val="00B15E2D"/>
    <w:rsid w:val="00B547EB"/>
    <w:rsid w:val="00BD5AC3"/>
    <w:rsid w:val="00BD7B44"/>
    <w:rsid w:val="00C26EB9"/>
    <w:rsid w:val="00C52BBC"/>
    <w:rsid w:val="00C86264"/>
    <w:rsid w:val="00CA5C94"/>
    <w:rsid w:val="00CF633F"/>
    <w:rsid w:val="00DC3EDB"/>
    <w:rsid w:val="00DE6B18"/>
    <w:rsid w:val="00E17D43"/>
    <w:rsid w:val="00E2745F"/>
    <w:rsid w:val="00E429AE"/>
    <w:rsid w:val="00E96DC3"/>
    <w:rsid w:val="00F02621"/>
    <w:rsid w:val="00F15C23"/>
    <w:rsid w:val="00F32136"/>
    <w:rsid w:val="00F552F9"/>
    <w:rsid w:val="00F7005D"/>
    <w:rsid w:val="00FB0EA6"/>
    <w:rsid w:val="00FD7743"/>
    <w:rsid w:val="0214418A"/>
    <w:rsid w:val="07BD4669"/>
    <w:rsid w:val="0ADD18E3"/>
    <w:rsid w:val="157578BC"/>
    <w:rsid w:val="1911525E"/>
    <w:rsid w:val="19456262"/>
    <w:rsid w:val="22DE017E"/>
    <w:rsid w:val="2E3309D0"/>
    <w:rsid w:val="2FE521A1"/>
    <w:rsid w:val="306A422C"/>
    <w:rsid w:val="34214D65"/>
    <w:rsid w:val="3FAE3D1C"/>
    <w:rsid w:val="45C74540"/>
    <w:rsid w:val="476A477E"/>
    <w:rsid w:val="491F2BA8"/>
    <w:rsid w:val="53660A65"/>
    <w:rsid w:val="62D93393"/>
    <w:rsid w:val="638B0827"/>
    <w:rsid w:val="682064DB"/>
    <w:rsid w:val="71353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napToGrid w:val="0"/>
      <w:spacing w:line="590" w:lineRule="atLeast"/>
      <w:ind w:firstLine="624"/>
      <w:jc w:val="both"/>
      <w:textAlignment w:val="baseline"/>
    </w:pPr>
    <w:rPr>
      <w:rFonts w:ascii="Times New Roman" w:hAnsi="Times New Roman" w:eastAsia="方正仿宋_GBK" w:cs="Times New Roman"/>
      <w:sz w:val="3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仿宋_GB2312" w:eastAsia="仿宋_GB2312"/>
      <w:sz w:val="32"/>
      <w:szCs w:val="20"/>
    </w:rPr>
  </w:style>
  <w:style w:type="paragraph" w:styleId="3">
    <w:name w:val="footer"/>
    <w:basedOn w:val="1"/>
    <w:link w:val="14"/>
    <w:qFormat/>
    <w:uiPriority w:val="99"/>
    <w:pPr>
      <w:tabs>
        <w:tab w:val="center" w:pos="4153"/>
        <w:tab w:val="right" w:pos="8306"/>
      </w:tabs>
      <w:spacing w:line="240" w:lineRule="auto"/>
      <w:ind w:firstLine="0"/>
      <w:jc w:val="left"/>
    </w:pPr>
    <w:rPr>
      <w:rFonts w:eastAsia="宋体"/>
      <w:kern w:val="2"/>
      <w:sz w:val="18"/>
      <w:szCs w:val="18"/>
    </w:rPr>
  </w:style>
  <w:style w:type="paragraph" w:styleId="4">
    <w:name w:val="header"/>
    <w:basedOn w:val="1"/>
    <w:link w:val="13"/>
    <w:qFormat/>
    <w:uiPriority w:val="0"/>
    <w:pPr>
      <w:pBdr>
        <w:bottom w:val="single" w:color="000000" w:sz="6" w:space="1"/>
      </w:pBdr>
      <w:tabs>
        <w:tab w:val="center" w:pos="4153"/>
        <w:tab w:val="right" w:pos="8306"/>
      </w:tabs>
      <w:spacing w:line="240" w:lineRule="auto"/>
      <w:ind w:firstLine="0"/>
      <w:jc w:val="center"/>
    </w:pPr>
    <w:rPr>
      <w:rFonts w:eastAsia="宋体"/>
      <w:kern w:val="2"/>
      <w:sz w:val="18"/>
      <w:szCs w:val="18"/>
    </w:rPr>
  </w:style>
  <w:style w:type="character" w:customStyle="1" w:styleId="7">
    <w:name w:val="NormalCharacter"/>
    <w:semiHidden/>
    <w:qFormat/>
    <w:uiPriority w:val="0"/>
  </w:style>
  <w:style w:type="table" w:customStyle="1" w:styleId="8">
    <w:name w:val="TableNormal"/>
    <w:semiHidden/>
    <w:qFormat/>
    <w:uiPriority w:val="0"/>
    <w:tblPr>
      <w:tblCellMar>
        <w:top w:w="0" w:type="dxa"/>
        <w:left w:w="0" w:type="dxa"/>
        <w:bottom w:w="0" w:type="dxa"/>
        <w:right w:w="0" w:type="dxa"/>
      </w:tblCellMar>
    </w:tblPr>
  </w:style>
  <w:style w:type="paragraph" w:customStyle="1" w:styleId="9">
    <w:name w:val="179"/>
    <w:basedOn w:val="1"/>
    <w:qFormat/>
    <w:uiPriority w:val="0"/>
    <w:pPr>
      <w:spacing w:line="240" w:lineRule="auto"/>
      <w:ind w:firstLine="420" w:firstLineChars="200"/>
    </w:pPr>
    <w:rPr>
      <w:rFonts w:ascii="Cambria" w:hAnsi="Cambria" w:eastAsia="宋体"/>
      <w:kern w:val="2"/>
      <w:sz w:val="24"/>
      <w:szCs w:val="24"/>
    </w:rPr>
  </w:style>
  <w:style w:type="paragraph" w:customStyle="1" w:styleId="10">
    <w:name w:val="UserStyle_0"/>
    <w:basedOn w:val="1"/>
    <w:next w:val="1"/>
    <w:qFormat/>
    <w:uiPriority w:val="0"/>
    <w:pPr>
      <w:spacing w:line="700" w:lineRule="atLeast"/>
      <w:ind w:firstLine="0"/>
      <w:jc w:val="center"/>
    </w:pPr>
    <w:rPr>
      <w:rFonts w:eastAsia="方正小标宋_GBK"/>
      <w:sz w:val="44"/>
    </w:rPr>
  </w:style>
  <w:style w:type="paragraph" w:customStyle="1" w:styleId="11">
    <w:name w:val="UserStyle_1"/>
    <w:basedOn w:val="1"/>
    <w:qFormat/>
    <w:uiPriority w:val="0"/>
  </w:style>
  <w:style w:type="table" w:customStyle="1" w:styleId="12">
    <w:name w:val="TableGrid"/>
    <w:basedOn w:val="8"/>
    <w:qFormat/>
    <w:uiPriority w:val="0"/>
    <w:tblPr>
      <w:tblCellMar>
        <w:top w:w="0" w:type="dxa"/>
        <w:left w:w="0" w:type="dxa"/>
        <w:bottom w:w="0" w:type="dxa"/>
        <w:right w:w="0" w:type="dxa"/>
      </w:tblCellMar>
    </w:tblPr>
  </w:style>
  <w:style w:type="character" w:customStyle="1" w:styleId="13">
    <w:name w:val="页眉 Char"/>
    <w:link w:val="4"/>
    <w:qFormat/>
    <w:uiPriority w:val="0"/>
    <w:rPr>
      <w:rFonts w:ascii="Times New Roman" w:hAnsi="Times New Roman" w:eastAsia="宋体"/>
      <w:kern w:val="2"/>
      <w:sz w:val="18"/>
      <w:szCs w:val="18"/>
    </w:rPr>
  </w:style>
  <w:style w:type="character" w:customStyle="1" w:styleId="14">
    <w:name w:val="页脚 Char"/>
    <w:link w:val="3"/>
    <w:qFormat/>
    <w:uiPriority w:val="99"/>
    <w:rPr>
      <w:rFonts w:ascii="Times New Roman" w:hAnsi="Times New Roman" w:eastAsia="宋体"/>
      <w:kern w:val="2"/>
      <w:sz w:val="18"/>
      <w:szCs w:val="18"/>
    </w:rPr>
  </w:style>
  <w:style w:type="paragraph" w:customStyle="1" w:styleId="15">
    <w:name w:val="Acetate"/>
    <w:basedOn w:val="1"/>
    <w:link w:val="16"/>
    <w:semiHidden/>
    <w:qFormat/>
    <w:uiPriority w:val="0"/>
    <w:pPr>
      <w:spacing w:line="240" w:lineRule="auto"/>
      <w:ind w:firstLine="0"/>
    </w:pPr>
    <w:rPr>
      <w:rFonts w:eastAsia="宋体"/>
      <w:kern w:val="2"/>
      <w:sz w:val="18"/>
      <w:szCs w:val="18"/>
    </w:rPr>
  </w:style>
  <w:style w:type="character" w:customStyle="1" w:styleId="16">
    <w:name w:val="UserStyle_5"/>
    <w:link w:val="15"/>
    <w:semiHidden/>
    <w:qFormat/>
    <w:uiPriority w:val="0"/>
    <w:rPr>
      <w:rFonts w:ascii="Times New Roman" w:hAnsi="Times New Roman" w:eastAsia="宋体"/>
      <w:kern w:val="2"/>
      <w:sz w:val="18"/>
      <w:szCs w:val="18"/>
    </w:rPr>
  </w:style>
  <w:style w:type="character" w:customStyle="1" w:styleId="17">
    <w:name w:val="PageNumber"/>
    <w:basedOn w:val="7"/>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447</Words>
  <Characters>2548</Characters>
  <Lines>21</Lines>
  <Paragraphs>5</Paragraphs>
  <TotalTime>0</TotalTime>
  <ScaleCrop>false</ScaleCrop>
  <LinksUpToDate>false</LinksUpToDate>
  <CharactersWithSpaces>2990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2021-05-30T01:07:00Z</dcterms:created>
  <dc:creator>Administrator</dc:creator>
  <cp:lastModifiedBy>Administrator</cp:lastModifiedBy>
  <cp:lastPrinted>2021-05-30T01:06:00Z</cp:lastPrinted>
  <dcterms:modified xsi:type="dcterms:W3CDTF">2020-05-29T03:37:23Z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