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kinsoku/>
        <w:wordWrap/>
        <w:overflowPunct/>
        <w:topLinePunct w:val="0"/>
        <w:autoSpaceDE/>
        <w:autoSpaceDN/>
        <w:bidi w:val="0"/>
        <w:adjustRightInd/>
        <w:snapToGrid w:val="0"/>
        <w:spacing w:line="600" w:lineRule="exact"/>
        <w:ind w:firstLine="624"/>
        <w:jc w:val="center"/>
        <w:textAlignment w:val="baseline"/>
        <w:rPr>
          <w:rStyle w:val="6"/>
          <w:rFonts w:hint="eastAsia" w:asciiTheme="majorEastAsia" w:hAnsiTheme="majorEastAsia" w:eastAsiaTheme="majorEastAsia"/>
          <w:b/>
          <w:sz w:val="44"/>
          <w:szCs w:val="44"/>
          <w:lang w:eastAsia="zh-CN"/>
        </w:rPr>
      </w:pPr>
      <w:r>
        <w:rPr>
          <w:rStyle w:val="6"/>
          <w:rFonts w:hint="eastAsia" w:asciiTheme="majorEastAsia" w:hAnsiTheme="majorEastAsia" w:eastAsiaTheme="majorEastAsia"/>
          <w:b/>
          <w:sz w:val="44"/>
          <w:szCs w:val="44"/>
          <w:lang w:eastAsia="zh-CN"/>
        </w:rPr>
        <w:t>黎城县杨岐山旅游服务中心</w:t>
      </w:r>
    </w:p>
    <w:p>
      <w:pPr>
        <w:pStyle w:val="2"/>
        <w:keepNext/>
        <w:keepLines/>
        <w:pageBreakBefore w:val="0"/>
        <w:widowControl/>
        <w:kinsoku/>
        <w:wordWrap/>
        <w:overflowPunct/>
        <w:topLinePunct w:val="0"/>
        <w:autoSpaceDE/>
        <w:autoSpaceDN/>
        <w:bidi w:val="0"/>
        <w:adjustRightInd/>
        <w:snapToGrid w:val="0"/>
        <w:spacing w:line="600" w:lineRule="exact"/>
        <w:ind w:firstLine="624"/>
        <w:jc w:val="center"/>
        <w:textAlignment w:val="baseline"/>
        <w:rPr>
          <w:rStyle w:val="6"/>
          <w:rFonts w:hint="eastAsia" w:asciiTheme="majorEastAsia" w:hAnsiTheme="majorEastAsia" w:eastAsiaTheme="majorEastAsia"/>
          <w:b/>
          <w:sz w:val="44"/>
          <w:szCs w:val="44"/>
        </w:rPr>
      </w:pPr>
      <w:r>
        <w:rPr>
          <w:rStyle w:val="6"/>
          <w:rFonts w:hint="eastAsia" w:asciiTheme="majorEastAsia" w:hAnsiTheme="majorEastAsia" w:eastAsiaTheme="majorEastAsia"/>
          <w:b/>
          <w:sz w:val="44"/>
          <w:szCs w:val="44"/>
          <w:lang w:val="en-US" w:eastAsia="zh-CN"/>
        </w:rPr>
        <w:t>2019</w:t>
      </w:r>
      <w:r>
        <w:rPr>
          <w:rStyle w:val="6"/>
          <w:rFonts w:hint="eastAsia" w:asciiTheme="majorEastAsia" w:hAnsiTheme="majorEastAsia" w:eastAsiaTheme="majorEastAsia"/>
          <w:b/>
          <w:sz w:val="44"/>
          <w:szCs w:val="44"/>
        </w:rPr>
        <w:t>年度部门预算公开说明</w:t>
      </w: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r>
        <w:rPr>
          <w:rFonts w:hint="eastAsia" w:ascii="仿宋" w:hAnsi="仿宋" w:eastAsia="仿宋" w:cs="仿宋"/>
          <w:sz w:val="32"/>
          <w:szCs w:val="32"/>
        </w:rPr>
        <w:t>目  录</w:t>
      </w:r>
    </w:p>
    <w:p>
      <w:pPr>
        <w:spacing w:line="400" w:lineRule="exact"/>
        <w:ind w:firstLine="0"/>
        <w:rPr>
          <w:rFonts w:hint="eastAsia" w:ascii="仿宋" w:hAnsi="仿宋" w:eastAsia="仿宋" w:cs="仿宋"/>
          <w:sz w:val="32"/>
          <w:szCs w:val="32"/>
        </w:rPr>
      </w:pP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第一部分 部门概况</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一、主要职能</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二、部门机构设置及预算单位构成情况</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第二部分 部门预算表</w:t>
      </w:r>
    </w:p>
    <w:p>
      <w:pPr>
        <w:numPr>
          <w:ilvl w:val="0"/>
          <w:numId w:val="0"/>
        </w:numPr>
        <w:spacing w:line="540" w:lineRule="exact"/>
        <w:rPr>
          <w:rFonts w:hint="eastAsia" w:ascii="仿宋" w:hAnsi="仿宋" w:eastAsia="仿宋" w:cs="仿宋"/>
          <w:sz w:val="32"/>
          <w:szCs w:val="32"/>
        </w:rPr>
      </w:pPr>
      <w:r>
        <w:rPr>
          <w:rFonts w:hint="eastAsia" w:ascii="仿宋" w:hAnsi="仿宋" w:eastAsia="仿宋" w:cs="仿宋"/>
          <w:sz w:val="32"/>
          <w:szCs w:val="32"/>
        </w:rPr>
        <w:t xml:space="preserve">第三部分 </w:t>
      </w:r>
      <w:r>
        <w:rPr>
          <w:rFonts w:hint="eastAsia" w:ascii="仿宋" w:hAnsi="仿宋" w:eastAsia="仿宋" w:cs="仿宋"/>
          <w:sz w:val="32"/>
          <w:szCs w:val="32"/>
          <w:lang w:val="en-US" w:eastAsia="zh-CN"/>
        </w:rPr>
        <w:t>2019年</w:t>
      </w:r>
      <w:r>
        <w:rPr>
          <w:rFonts w:hint="eastAsia" w:ascii="仿宋" w:hAnsi="仿宋" w:eastAsia="仿宋" w:cs="仿宋"/>
          <w:sz w:val="32"/>
          <w:szCs w:val="32"/>
        </w:rPr>
        <w:t>部门预算情况说明</w:t>
      </w:r>
    </w:p>
    <w:p>
      <w:pPr>
        <w:spacing w:line="540" w:lineRule="exact"/>
        <w:ind w:firstLine="0"/>
        <w:rPr>
          <w:rFonts w:hint="eastAsia" w:ascii="仿宋" w:hAnsi="仿宋" w:eastAsia="仿宋" w:cs="仿宋"/>
          <w:sz w:val="32"/>
          <w:szCs w:val="32"/>
        </w:rPr>
      </w:pPr>
      <w:r>
        <w:rPr>
          <w:rFonts w:hint="eastAsia" w:ascii="仿宋" w:hAnsi="仿宋" w:eastAsia="仿宋" w:cs="仿宋"/>
          <w:sz w:val="32"/>
          <w:szCs w:val="32"/>
        </w:rPr>
        <w:t>第四部分 名词解释</w:t>
      </w:r>
    </w:p>
    <w:p>
      <w:pPr>
        <w:rPr>
          <w:rFonts w:hint="eastAsia"/>
        </w:rPr>
      </w:pPr>
      <w:r>
        <w:rPr>
          <w:rFonts w:hint="eastAsia" w:ascii="仿宋" w:hAnsi="仿宋" w:eastAsia="仿宋" w:cs="仿宋"/>
          <w:sz w:val="32"/>
          <w:szCs w:val="32"/>
        </w:rPr>
        <w:br w:type="page"/>
      </w:r>
    </w:p>
    <w:p>
      <w:pPr>
        <w:ind w:firstLine="0"/>
        <w:jc w:val="center"/>
        <w:rPr>
          <w:rStyle w:val="6"/>
          <w:rFonts w:hint="eastAsia" w:ascii="仿宋_GB2312" w:hAnsi="黑体" w:eastAsia="仿宋_GB2312"/>
          <w:b/>
        </w:rPr>
      </w:pPr>
      <w:r>
        <w:rPr>
          <w:rStyle w:val="6"/>
          <w:rFonts w:hint="eastAsia" w:ascii="仿宋_GB2312" w:hAnsi="黑体" w:eastAsia="仿宋_GB2312"/>
          <w:b/>
        </w:rPr>
        <w:t>第一部分  部门概况</w:t>
      </w:r>
    </w:p>
    <w:p>
      <w:pPr>
        <w:ind w:firstLine="643" w:firstLineChars="200"/>
        <w:rPr>
          <w:rStyle w:val="6"/>
          <w:rFonts w:hint="eastAsia" w:ascii="仿宋_GB2312" w:eastAsia="仿宋_GB2312"/>
          <w:b/>
        </w:rPr>
      </w:pPr>
      <w:r>
        <w:rPr>
          <w:rStyle w:val="6"/>
          <w:rFonts w:hint="eastAsia" w:ascii="仿宋_GB2312" w:eastAsia="仿宋_GB2312"/>
          <w:b/>
        </w:rPr>
        <w:t>一、主要职能</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1.负责做好景区内自然、生态、旅游资源开发和环境保护等工作；</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2、组织编制风景区总体规划，景点建设详细规划和风景区发展计划，按规定程序报批后负责组织实施；</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3、制定风景区各项管理制度和服务工作规定，并负责组织实施；</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4、统一规划、管理风景区基础设施、公共设施等建设项目；</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5、负责风景区对外招商项目策划、编制、洽谈，按照规定权限审批或审核风景区投资项目，并报有关部门备案；</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6、负责风景区营销策划和整体形象宣传、广告宣传制定营销策划、计划，组织实施市场营销活动；</w:t>
      </w:r>
    </w:p>
    <w:p>
      <w:pPr>
        <w:spacing w:line="550" w:lineRule="exact"/>
        <w:ind w:left="0" w:leftChars="0"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7、承办主管部门和上级业务部门交办的其他事宜。</w:t>
      </w:r>
    </w:p>
    <w:p>
      <w:pPr>
        <w:spacing w:line="550" w:lineRule="exact"/>
        <w:ind w:left="0" w:leftChars="0" w:firstLine="643" w:firstLineChars="200"/>
        <w:rPr>
          <w:rStyle w:val="6"/>
          <w:rFonts w:hint="eastAsia" w:ascii="仿宋_GB2312" w:eastAsia="仿宋_GB2312"/>
          <w:b/>
        </w:rPr>
      </w:pPr>
      <w:r>
        <w:rPr>
          <w:rStyle w:val="6"/>
          <w:rFonts w:hint="eastAsia" w:ascii="仿宋_GB2312" w:eastAsia="仿宋_GB2312"/>
          <w:b/>
        </w:rPr>
        <w:t>二、部门机构设置情况</w:t>
      </w:r>
    </w:p>
    <w:p>
      <w:pPr>
        <w:ind w:firstLine="640" w:firstLineChars="200"/>
        <w:jc w:val="left"/>
        <w:rPr>
          <w:rStyle w:val="6"/>
          <w:rFonts w:hint="eastAsia" w:ascii="仿宋_GB2312" w:eastAsia="仿宋_GB2312"/>
          <w:sz w:val="44"/>
          <w:szCs w:val="44"/>
        </w:rPr>
      </w:pPr>
      <w:r>
        <w:rPr>
          <w:rStyle w:val="6"/>
          <w:rFonts w:hint="eastAsia" w:ascii="仿宋_GB2312" w:eastAsia="仿宋_GB2312"/>
        </w:rPr>
        <w:t>根据部门职责分工，本部门内设机构</w:t>
      </w:r>
      <w:r>
        <w:rPr>
          <w:rStyle w:val="6"/>
          <w:rFonts w:hint="eastAsia" w:ascii="仿宋_GB2312" w:eastAsia="仿宋_GB2312"/>
          <w:lang w:val="en-US" w:eastAsia="zh-CN"/>
        </w:rPr>
        <w:t>2</w:t>
      </w:r>
      <w:r>
        <w:rPr>
          <w:rStyle w:val="6"/>
          <w:rFonts w:hint="eastAsia" w:ascii="仿宋_GB2312" w:eastAsia="仿宋_GB2312"/>
        </w:rPr>
        <w:t>个，包括</w:t>
      </w:r>
      <w:r>
        <w:rPr>
          <w:rFonts w:hint="eastAsia" w:ascii="仿宋" w:hAnsi="仿宋" w:eastAsia="仿宋" w:cs="仿宋"/>
          <w:b w:val="0"/>
          <w:bCs w:val="0"/>
          <w:sz w:val="32"/>
          <w:szCs w:val="32"/>
          <w:lang w:val="en-US" w:eastAsia="zh-CN"/>
        </w:rPr>
        <w:t>办公室和综合业务股室</w:t>
      </w:r>
      <w:r>
        <w:rPr>
          <w:rStyle w:val="6"/>
          <w:rFonts w:hint="eastAsia" w:ascii="仿宋_GB2312" w:eastAsia="仿宋_GB2312"/>
        </w:rPr>
        <w:t>。本部门</w:t>
      </w:r>
      <w:r>
        <w:rPr>
          <w:rStyle w:val="6"/>
          <w:rFonts w:hint="eastAsia" w:ascii="仿宋_GB2312" w:eastAsia="仿宋_GB2312"/>
          <w:lang w:eastAsia="zh-CN"/>
        </w:rPr>
        <w:t>无</w:t>
      </w:r>
      <w:r>
        <w:rPr>
          <w:rStyle w:val="6"/>
          <w:rFonts w:hint="eastAsia" w:ascii="仿宋_GB2312" w:eastAsia="仿宋_GB2312"/>
        </w:rPr>
        <w:t>下属单位</w:t>
      </w:r>
      <w:r>
        <w:rPr>
          <w:rStyle w:val="6"/>
          <w:rFonts w:hint="eastAsia" w:ascii="仿宋_GB2312" w:eastAsia="仿宋_GB2312"/>
          <w:lang w:eastAsia="zh-CN"/>
        </w:rPr>
        <w:t>，</w:t>
      </w:r>
      <w:r>
        <w:rPr>
          <w:rStyle w:val="6"/>
          <w:rFonts w:hint="eastAsia" w:ascii="仿宋_GB2312" w:eastAsia="仿宋_GB2312"/>
        </w:rPr>
        <w:t>其中纳入预决算部门统计范围</w:t>
      </w:r>
      <w:r>
        <w:rPr>
          <w:rStyle w:val="6"/>
          <w:rFonts w:hint="eastAsia" w:ascii="仿宋_GB2312" w:eastAsia="仿宋_GB2312"/>
          <w:lang w:val="en-US" w:eastAsia="zh-CN"/>
        </w:rPr>
        <w:t>1</w:t>
      </w:r>
      <w:r>
        <w:rPr>
          <w:rStyle w:val="6"/>
          <w:rFonts w:hint="eastAsia" w:ascii="仿宋_GB2312" w:eastAsia="仿宋_GB2312"/>
        </w:rPr>
        <w:t>个。</w:t>
      </w:r>
    </w:p>
    <w:p>
      <w:pPr>
        <w:ind w:firstLine="643" w:firstLineChars="200"/>
        <w:jc w:val="center"/>
        <w:rPr>
          <w:rStyle w:val="6"/>
          <w:rFonts w:hint="eastAsia" w:ascii="仿宋_GB2312" w:eastAsia="仿宋_GB2312"/>
          <w:b/>
          <w:szCs w:val="32"/>
        </w:rPr>
      </w:pPr>
      <w:r>
        <w:rPr>
          <w:rStyle w:val="6"/>
          <w:rFonts w:hint="eastAsia" w:ascii="仿宋_GB2312" w:eastAsia="仿宋_GB2312"/>
          <w:b/>
          <w:szCs w:val="32"/>
        </w:rPr>
        <w:t>第二部分　部门预算表（略，详见附表）</w:t>
      </w:r>
    </w:p>
    <w:p>
      <w:pPr>
        <w:spacing w:before="312" w:beforeAutospacing="1" w:after="312" w:afterAutospacing="1" w:line="550" w:lineRule="exact"/>
        <w:jc w:val="center"/>
        <w:rPr>
          <w:rStyle w:val="6"/>
          <w:rFonts w:hint="eastAsia" w:ascii="仿宋_GB2312" w:eastAsia="仿宋_GB2312"/>
          <w:b/>
          <w:szCs w:val="32"/>
        </w:rPr>
      </w:pPr>
      <w:r>
        <w:rPr>
          <w:rStyle w:val="6"/>
          <w:rFonts w:hint="eastAsia" w:ascii="仿宋_GB2312" w:eastAsia="仿宋_GB2312"/>
          <w:b/>
          <w:szCs w:val="32"/>
        </w:rPr>
        <w:t>第三部分 部门预算情况说明</w:t>
      </w:r>
    </w:p>
    <w:p>
      <w:pPr>
        <w:spacing w:before="156"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一、收支预算总体情况说明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本部门本年度收入预算</w:t>
      </w:r>
      <w:r>
        <w:rPr>
          <w:rStyle w:val="6"/>
          <w:rFonts w:hint="eastAsia" w:ascii="仿宋_GB2312" w:eastAsia="仿宋_GB2312"/>
          <w:szCs w:val="32"/>
          <w:lang w:val="en-US" w:eastAsia="zh-CN"/>
        </w:rPr>
        <w:t>32.42</w:t>
      </w:r>
      <w:r>
        <w:rPr>
          <w:rStyle w:val="6"/>
          <w:rFonts w:hint="eastAsia" w:ascii="仿宋_GB2312" w:eastAsia="仿宋_GB2312"/>
          <w:szCs w:val="32"/>
        </w:rPr>
        <w:t>万元、支出预算</w:t>
      </w:r>
      <w:r>
        <w:rPr>
          <w:rStyle w:val="6"/>
          <w:rFonts w:hint="eastAsia" w:ascii="仿宋_GB2312" w:eastAsia="仿宋_GB2312"/>
          <w:szCs w:val="32"/>
          <w:lang w:val="en-US" w:eastAsia="zh-CN"/>
        </w:rPr>
        <w:t>32.42</w:t>
      </w:r>
      <w:r>
        <w:rPr>
          <w:rStyle w:val="6"/>
          <w:rFonts w:hint="eastAsia" w:ascii="仿宋_GB2312" w:eastAsia="仿宋_GB2312"/>
          <w:szCs w:val="32"/>
        </w:rPr>
        <w:t>万元，与上年相比收入预算减少</w:t>
      </w:r>
      <w:r>
        <w:rPr>
          <w:rStyle w:val="6"/>
          <w:rFonts w:hint="eastAsia" w:ascii="仿宋_GB2312" w:eastAsia="仿宋_GB2312"/>
          <w:szCs w:val="32"/>
          <w:lang w:val="en-US" w:eastAsia="zh-CN"/>
        </w:rPr>
        <w:t>0.4</w:t>
      </w:r>
      <w:r>
        <w:rPr>
          <w:rStyle w:val="6"/>
          <w:rFonts w:hint="eastAsia" w:ascii="仿宋_GB2312" w:eastAsia="仿宋_GB2312"/>
          <w:szCs w:val="32"/>
        </w:rPr>
        <w:t>万元、支出预算减少</w:t>
      </w:r>
      <w:r>
        <w:rPr>
          <w:rStyle w:val="6"/>
          <w:rFonts w:hint="eastAsia" w:ascii="仿宋_GB2312" w:eastAsia="仿宋_GB2312"/>
          <w:szCs w:val="32"/>
          <w:lang w:val="en-US" w:eastAsia="zh-CN"/>
        </w:rPr>
        <w:t>0.4</w:t>
      </w:r>
      <w:r>
        <w:rPr>
          <w:rStyle w:val="6"/>
          <w:rFonts w:hint="eastAsia" w:ascii="仿宋_GB2312" w:eastAsia="仿宋_GB2312"/>
          <w:szCs w:val="32"/>
        </w:rPr>
        <w:t>万元，减少</w:t>
      </w:r>
      <w:r>
        <w:rPr>
          <w:rStyle w:val="6"/>
          <w:rFonts w:hint="eastAsia" w:ascii="仿宋_GB2312" w:eastAsia="仿宋_GB2312"/>
          <w:szCs w:val="32"/>
          <w:lang w:val="en-US" w:eastAsia="zh-CN"/>
        </w:rPr>
        <w:t>1.22</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（一）收入预算总计</w:t>
      </w:r>
      <w:r>
        <w:rPr>
          <w:rStyle w:val="6"/>
          <w:rFonts w:hint="eastAsia" w:ascii="仿宋_GB2312" w:eastAsia="仿宋_GB2312"/>
          <w:szCs w:val="32"/>
          <w:lang w:val="en-US" w:eastAsia="zh-CN"/>
        </w:rPr>
        <w:t>32.42</w:t>
      </w:r>
      <w:r>
        <w:rPr>
          <w:rStyle w:val="6"/>
          <w:rFonts w:hint="eastAsia" w:ascii="仿宋_GB2312" w:eastAsia="仿宋_GB2312"/>
          <w:szCs w:val="32"/>
        </w:rPr>
        <w:t>万元。包括：</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1．财政拨款收入预算总计</w:t>
      </w:r>
      <w:r>
        <w:rPr>
          <w:rStyle w:val="6"/>
          <w:rFonts w:hint="eastAsia" w:ascii="仿宋_GB2312" w:eastAsia="仿宋_GB2312"/>
          <w:szCs w:val="32"/>
          <w:lang w:val="en-US" w:eastAsia="zh-CN"/>
        </w:rPr>
        <w:t>32.42</w:t>
      </w:r>
      <w:r>
        <w:rPr>
          <w:rStyle w:val="6"/>
          <w:rFonts w:hint="eastAsia" w:ascii="仿宋_GB2312" w:eastAsia="仿宋_GB2312"/>
          <w:szCs w:val="32"/>
        </w:rPr>
        <w:t>万元。</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（1）一般公共预算收入预算</w:t>
      </w:r>
      <w:r>
        <w:rPr>
          <w:rStyle w:val="6"/>
          <w:rFonts w:hint="eastAsia" w:ascii="仿宋_GB2312" w:eastAsia="仿宋_GB2312"/>
          <w:szCs w:val="32"/>
          <w:lang w:val="en-US" w:eastAsia="zh-CN"/>
        </w:rPr>
        <w:t>32.42</w:t>
      </w:r>
      <w:r>
        <w:rPr>
          <w:rStyle w:val="6"/>
          <w:rFonts w:hint="eastAsia" w:ascii="仿宋_GB2312" w:eastAsia="仿宋_GB2312"/>
          <w:szCs w:val="32"/>
        </w:rPr>
        <w:t>万元，与上年相比减少</w:t>
      </w:r>
      <w:r>
        <w:rPr>
          <w:rStyle w:val="6"/>
          <w:rFonts w:hint="eastAsia" w:ascii="仿宋_GB2312" w:eastAsia="仿宋_GB2312"/>
          <w:szCs w:val="32"/>
          <w:lang w:val="en-US" w:eastAsia="zh-CN"/>
        </w:rPr>
        <w:t>0.4</w:t>
      </w:r>
      <w:r>
        <w:rPr>
          <w:rStyle w:val="6"/>
          <w:rFonts w:hint="eastAsia" w:ascii="仿宋_GB2312" w:eastAsia="仿宋_GB2312"/>
          <w:szCs w:val="32"/>
        </w:rPr>
        <w:t>万元，减少</w:t>
      </w:r>
      <w:r>
        <w:rPr>
          <w:rStyle w:val="6"/>
          <w:rFonts w:hint="eastAsia" w:ascii="仿宋_GB2312" w:eastAsia="仿宋_GB2312"/>
          <w:szCs w:val="32"/>
          <w:lang w:val="en-US" w:eastAsia="zh-CN"/>
        </w:rPr>
        <w:t>1.22</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（二）支出预算总计</w:t>
      </w:r>
      <w:r>
        <w:rPr>
          <w:rStyle w:val="6"/>
          <w:rFonts w:hint="eastAsia" w:ascii="仿宋_GB2312" w:eastAsia="仿宋_GB2312"/>
          <w:szCs w:val="32"/>
          <w:lang w:val="en-US" w:eastAsia="zh-CN"/>
        </w:rPr>
        <w:t>32.42</w:t>
      </w:r>
      <w:r>
        <w:rPr>
          <w:rStyle w:val="6"/>
          <w:rFonts w:hint="eastAsia" w:ascii="仿宋_GB2312" w:eastAsia="仿宋_GB2312"/>
          <w:szCs w:val="32"/>
        </w:rPr>
        <w:t>万元。包括：</w:t>
      </w:r>
    </w:p>
    <w:p>
      <w:pPr>
        <w:spacing w:line="550" w:lineRule="exact"/>
        <w:ind w:firstLine="640" w:firstLineChars="200"/>
        <w:rPr>
          <w:rStyle w:val="6"/>
          <w:rFonts w:hint="eastAsia" w:ascii="仿宋_GB2312" w:eastAsia="仿宋_GB2312"/>
          <w:szCs w:val="32"/>
        </w:rPr>
      </w:pPr>
      <w:r>
        <w:rPr>
          <w:rStyle w:val="6"/>
          <w:rFonts w:hint="eastAsia" w:ascii="仿宋" w:hAnsi="仿宋" w:eastAsia="仿宋"/>
          <w:szCs w:val="32"/>
          <w:lang w:eastAsia="zh-CN"/>
        </w:rPr>
        <w:t>文化旅游体育与传媒</w:t>
      </w:r>
      <w:r>
        <w:rPr>
          <w:rStyle w:val="6"/>
          <w:rFonts w:hint="eastAsia" w:ascii="仿宋_GB2312" w:eastAsia="仿宋_GB2312"/>
          <w:szCs w:val="32"/>
        </w:rPr>
        <w:t>支出</w:t>
      </w:r>
      <w:r>
        <w:rPr>
          <w:rStyle w:val="6"/>
          <w:rFonts w:hint="eastAsia" w:ascii="仿宋_GB2312" w:eastAsia="仿宋_GB2312"/>
          <w:szCs w:val="32"/>
          <w:lang w:val="en-US" w:eastAsia="zh-CN"/>
        </w:rPr>
        <w:t>32.42</w:t>
      </w:r>
      <w:r>
        <w:rPr>
          <w:rStyle w:val="6"/>
          <w:rFonts w:hint="eastAsia" w:ascii="仿宋_GB2312" w:eastAsia="仿宋_GB2312"/>
          <w:szCs w:val="32"/>
        </w:rPr>
        <w:t>万元，主要用于</w:t>
      </w:r>
      <w:r>
        <w:rPr>
          <w:rStyle w:val="6"/>
          <w:rFonts w:hint="eastAsia" w:ascii="仿宋_GB2312" w:eastAsia="仿宋_GB2312"/>
          <w:szCs w:val="32"/>
          <w:lang w:eastAsia="zh-CN"/>
        </w:rPr>
        <w:t>工资福利支出</w:t>
      </w:r>
      <w:r>
        <w:rPr>
          <w:rStyle w:val="6"/>
          <w:rFonts w:hint="eastAsia" w:ascii="仿宋_GB2312" w:eastAsia="仿宋_GB2312"/>
          <w:szCs w:val="32"/>
        </w:rPr>
        <w:t>。与上年相比减少</w:t>
      </w:r>
      <w:r>
        <w:rPr>
          <w:rStyle w:val="6"/>
          <w:rFonts w:hint="eastAsia" w:ascii="仿宋_GB2312" w:eastAsia="仿宋_GB2312"/>
          <w:szCs w:val="32"/>
          <w:lang w:val="en-US" w:eastAsia="zh-CN"/>
        </w:rPr>
        <w:t>0.4</w:t>
      </w:r>
      <w:r>
        <w:rPr>
          <w:rStyle w:val="6"/>
          <w:rFonts w:hint="eastAsia" w:ascii="仿宋_GB2312" w:eastAsia="仿宋_GB2312"/>
          <w:szCs w:val="32"/>
        </w:rPr>
        <w:t>万元，减少</w:t>
      </w:r>
      <w:r>
        <w:rPr>
          <w:rStyle w:val="6"/>
          <w:rFonts w:hint="eastAsia" w:ascii="仿宋_GB2312" w:eastAsia="仿宋_GB2312"/>
          <w:szCs w:val="32"/>
          <w:lang w:val="en-US" w:eastAsia="zh-CN"/>
        </w:rPr>
        <w:t>1.22</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二、收入预算情况说明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本部门本年收入预算合计</w:t>
      </w:r>
      <w:r>
        <w:rPr>
          <w:rStyle w:val="6"/>
          <w:rFonts w:hint="eastAsia" w:ascii="仿宋_GB2312" w:eastAsia="仿宋_GB2312"/>
          <w:szCs w:val="32"/>
          <w:lang w:val="en-US" w:eastAsia="zh-CN"/>
        </w:rPr>
        <w:t>32.42</w:t>
      </w:r>
      <w:r>
        <w:rPr>
          <w:rStyle w:val="6"/>
          <w:rFonts w:hint="eastAsia" w:ascii="仿宋_GB2312" w:eastAsia="仿宋_GB2312"/>
          <w:szCs w:val="32"/>
        </w:rPr>
        <w:t xml:space="preserve"> 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一般公共预算收入</w:t>
      </w:r>
      <w:r>
        <w:rPr>
          <w:rStyle w:val="6"/>
          <w:rFonts w:hint="eastAsia" w:ascii="仿宋_GB2312" w:eastAsia="仿宋_GB2312"/>
          <w:szCs w:val="32"/>
          <w:lang w:val="en-US" w:eastAsia="zh-CN"/>
        </w:rPr>
        <w:t>32.42</w:t>
      </w:r>
      <w:r>
        <w:rPr>
          <w:rStyle w:val="6"/>
          <w:rFonts w:hint="eastAsia" w:ascii="仿宋_GB2312" w:eastAsia="仿宋_GB2312"/>
          <w:szCs w:val="32"/>
        </w:rPr>
        <w:t>万元，占</w:t>
      </w:r>
      <w:r>
        <w:rPr>
          <w:rStyle w:val="6"/>
          <w:rFonts w:hint="eastAsia" w:ascii="仿宋_GB2312" w:eastAsia="仿宋_GB2312"/>
          <w:szCs w:val="32"/>
          <w:lang w:val="en-US" w:eastAsia="zh-CN"/>
        </w:rPr>
        <w:t>100</w:t>
      </w:r>
      <w:r>
        <w:rPr>
          <w:rStyle w:val="6"/>
          <w:rFonts w:hint="eastAsia" w:ascii="仿宋_GB2312" w:eastAsia="仿宋_GB2312"/>
          <w:szCs w:val="32"/>
        </w:rPr>
        <w:t xml:space="preserve"> %；</w:t>
      </w:r>
    </w:p>
    <w:p>
      <w:pPr>
        <w:spacing w:line="550" w:lineRule="exact"/>
        <w:ind w:left="0" w:leftChars="0" w:firstLine="643" w:firstLineChars="200"/>
        <w:rPr>
          <w:rStyle w:val="6"/>
          <w:rFonts w:hint="eastAsia" w:ascii="仿宋_GB2312" w:eastAsia="仿宋_GB2312"/>
          <w:b/>
          <w:szCs w:val="32"/>
        </w:rPr>
      </w:pPr>
      <w:r>
        <w:rPr>
          <w:rStyle w:val="6"/>
          <w:rFonts w:hint="eastAsia" w:ascii="仿宋_GB2312" w:eastAsia="仿宋_GB2312"/>
          <w:b/>
          <w:szCs w:val="32"/>
        </w:rPr>
        <w:t>三、支出预算情况说明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本部门本年支出预算合计</w:t>
      </w:r>
      <w:r>
        <w:rPr>
          <w:rStyle w:val="6"/>
          <w:rFonts w:hint="eastAsia" w:ascii="仿宋_GB2312" w:eastAsia="仿宋_GB2312"/>
          <w:szCs w:val="32"/>
          <w:lang w:val="en-US" w:eastAsia="zh-CN"/>
        </w:rPr>
        <w:t>32.42</w:t>
      </w:r>
      <w:r>
        <w:rPr>
          <w:rStyle w:val="6"/>
          <w:rFonts w:hint="eastAsia" w:ascii="仿宋_GB2312" w:eastAsia="仿宋_GB2312"/>
          <w:szCs w:val="32"/>
        </w:rPr>
        <w:t xml:space="preserve"> 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基本支出</w:t>
      </w:r>
      <w:r>
        <w:rPr>
          <w:rStyle w:val="6"/>
          <w:rFonts w:hint="eastAsia" w:ascii="仿宋_GB2312" w:eastAsia="仿宋_GB2312"/>
          <w:szCs w:val="32"/>
          <w:lang w:val="en-US" w:eastAsia="zh-CN"/>
        </w:rPr>
        <w:t>32.42</w:t>
      </w:r>
      <w:r>
        <w:rPr>
          <w:rStyle w:val="6"/>
          <w:rFonts w:hint="eastAsia" w:ascii="仿宋_GB2312" w:eastAsia="仿宋_GB2312"/>
          <w:szCs w:val="32"/>
        </w:rPr>
        <w:t xml:space="preserve"> 万元，占</w:t>
      </w:r>
      <w:r>
        <w:rPr>
          <w:rStyle w:val="6"/>
          <w:rFonts w:hint="eastAsia" w:ascii="仿宋_GB2312" w:eastAsia="仿宋_GB2312"/>
          <w:szCs w:val="32"/>
          <w:lang w:val="en-US" w:eastAsia="zh-CN"/>
        </w:rPr>
        <w:t>100</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四、财政拨款收支预算总体情况说明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 xml:space="preserve">本部门本年度财政拨款收、支总预算 </w:t>
      </w:r>
      <w:r>
        <w:rPr>
          <w:rStyle w:val="6"/>
          <w:rFonts w:hint="eastAsia" w:ascii="仿宋_GB2312" w:eastAsia="仿宋_GB2312"/>
          <w:szCs w:val="32"/>
          <w:lang w:val="en-US" w:eastAsia="zh-CN"/>
        </w:rPr>
        <w:t>32.42</w:t>
      </w:r>
      <w:r>
        <w:rPr>
          <w:rStyle w:val="6"/>
          <w:rFonts w:hint="eastAsia" w:ascii="仿宋_GB2312" w:eastAsia="仿宋_GB2312"/>
          <w:szCs w:val="32"/>
        </w:rPr>
        <w:t>万元。与上年相比，财政拨款收、支总计各减少</w:t>
      </w:r>
      <w:r>
        <w:rPr>
          <w:rStyle w:val="6"/>
          <w:rFonts w:hint="eastAsia" w:ascii="仿宋_GB2312" w:eastAsia="仿宋_GB2312"/>
          <w:szCs w:val="32"/>
          <w:lang w:val="en-US" w:eastAsia="zh-CN"/>
        </w:rPr>
        <w:t>0.4</w:t>
      </w:r>
      <w:r>
        <w:rPr>
          <w:rStyle w:val="6"/>
          <w:rFonts w:hint="eastAsia" w:ascii="仿宋_GB2312" w:eastAsia="仿宋_GB2312"/>
          <w:szCs w:val="32"/>
        </w:rPr>
        <w:t>万元，减少</w:t>
      </w:r>
      <w:r>
        <w:rPr>
          <w:rStyle w:val="6"/>
          <w:rFonts w:hint="eastAsia" w:ascii="仿宋_GB2312" w:eastAsia="仿宋_GB2312"/>
          <w:szCs w:val="32"/>
          <w:lang w:val="en-US" w:eastAsia="zh-CN"/>
        </w:rPr>
        <w:t>1.22</w:t>
      </w:r>
      <w:r>
        <w:rPr>
          <w:rStyle w:val="6"/>
          <w:rFonts w:hint="eastAsia" w:ascii="仿宋_GB2312" w:eastAsia="仿宋_GB2312"/>
          <w:szCs w:val="32"/>
        </w:rPr>
        <w:t>%。主要原因是</w:t>
      </w:r>
      <w:r>
        <w:rPr>
          <w:rStyle w:val="6"/>
          <w:rFonts w:hint="eastAsia" w:ascii="仿宋_GB2312" w:eastAsia="仿宋_GB2312"/>
          <w:szCs w:val="32"/>
          <w:lang w:eastAsia="zh-CN"/>
        </w:rPr>
        <w:t>人员经费减少</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五、一般公共预算支出预算情况说明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 xml:space="preserve">本部门本年一般公共预算财政拨款支出预算 </w:t>
      </w:r>
      <w:r>
        <w:rPr>
          <w:rStyle w:val="6"/>
          <w:rFonts w:hint="eastAsia" w:ascii="仿宋_GB2312" w:eastAsia="仿宋_GB2312"/>
          <w:szCs w:val="32"/>
          <w:lang w:val="en-US" w:eastAsia="zh-CN"/>
        </w:rPr>
        <w:t>32.42</w:t>
      </w:r>
      <w:r>
        <w:rPr>
          <w:rStyle w:val="6"/>
          <w:rFonts w:hint="eastAsia" w:ascii="仿宋_GB2312" w:eastAsia="仿宋_GB2312"/>
          <w:szCs w:val="32"/>
        </w:rPr>
        <w:t>万元，与上年相比减少</w:t>
      </w:r>
      <w:r>
        <w:rPr>
          <w:rStyle w:val="6"/>
          <w:rFonts w:hint="eastAsia" w:ascii="仿宋_GB2312" w:eastAsia="仿宋_GB2312"/>
          <w:szCs w:val="32"/>
          <w:lang w:val="en-US" w:eastAsia="zh-CN"/>
        </w:rPr>
        <w:t>0.4</w:t>
      </w:r>
      <w:r>
        <w:rPr>
          <w:rStyle w:val="6"/>
          <w:rFonts w:hint="eastAsia" w:ascii="仿宋_GB2312" w:eastAsia="仿宋_GB2312"/>
          <w:szCs w:val="32"/>
        </w:rPr>
        <w:t>万元，减少</w:t>
      </w:r>
      <w:r>
        <w:rPr>
          <w:rStyle w:val="6"/>
          <w:rFonts w:hint="eastAsia" w:ascii="仿宋_GB2312" w:eastAsia="仿宋_GB2312"/>
          <w:szCs w:val="32"/>
          <w:lang w:val="en-US" w:eastAsia="zh-CN"/>
        </w:rPr>
        <w:t>1.22</w:t>
      </w:r>
      <w:r>
        <w:rPr>
          <w:rStyle w:val="6"/>
          <w:rFonts w:hint="eastAsia" w:ascii="仿宋_GB2312" w:eastAsia="仿宋_GB2312"/>
          <w:szCs w:val="32"/>
        </w:rPr>
        <w:t xml:space="preserve"> %。主要原因是</w:t>
      </w:r>
      <w:r>
        <w:rPr>
          <w:rStyle w:val="6"/>
          <w:rFonts w:hint="eastAsia" w:ascii="仿宋_GB2312" w:eastAsia="仿宋_GB2312"/>
          <w:szCs w:val="32"/>
          <w:lang w:eastAsia="zh-CN"/>
        </w:rPr>
        <w:t>人员经费减少</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六、一般公共预算基本支出预算情况说明</w:t>
      </w:r>
    </w:p>
    <w:p>
      <w:pPr>
        <w:spacing w:line="550" w:lineRule="exact"/>
        <w:ind w:firstLine="672" w:firstLineChars="200"/>
        <w:rPr>
          <w:rStyle w:val="6"/>
          <w:rFonts w:hint="eastAsia" w:ascii="仿宋_GB2312" w:eastAsia="仿宋_GB2312"/>
          <w:spacing w:val="8"/>
          <w:szCs w:val="32"/>
        </w:rPr>
      </w:pPr>
      <w:r>
        <w:rPr>
          <w:rStyle w:val="6"/>
          <w:rFonts w:hint="eastAsia" w:ascii="仿宋_GB2312" w:eastAsia="仿宋_GB2312"/>
          <w:spacing w:val="8"/>
          <w:szCs w:val="32"/>
        </w:rPr>
        <w:t>本部门本年度一般公共预算财政拨款基本支出预算</w:t>
      </w:r>
    </w:p>
    <w:p>
      <w:pPr>
        <w:spacing w:line="550" w:lineRule="exact"/>
        <w:ind w:firstLine="672" w:firstLineChars="200"/>
        <w:rPr>
          <w:rStyle w:val="6"/>
          <w:rFonts w:hint="eastAsia" w:ascii="仿宋_GB2312" w:eastAsia="仿宋_GB2312"/>
          <w:spacing w:val="8"/>
          <w:szCs w:val="32"/>
        </w:rPr>
      </w:pPr>
      <w:r>
        <w:rPr>
          <w:rStyle w:val="6"/>
          <w:rFonts w:hint="eastAsia" w:ascii="仿宋_GB2312" w:eastAsia="仿宋_GB2312"/>
          <w:spacing w:val="8"/>
          <w:szCs w:val="32"/>
          <w:lang w:val="en-US" w:eastAsia="zh-CN"/>
        </w:rPr>
        <w:t>32.42</w:t>
      </w:r>
      <w:r>
        <w:rPr>
          <w:rStyle w:val="6"/>
          <w:rFonts w:hint="eastAsia" w:ascii="仿宋_GB2312" w:eastAsia="仿宋_GB2312"/>
          <w:spacing w:val="8"/>
          <w:szCs w:val="32"/>
        </w:rPr>
        <w:t>万元，其中：</w:t>
      </w:r>
    </w:p>
    <w:p>
      <w:pPr>
        <w:numPr>
          <w:ilvl w:val="0"/>
          <w:numId w:val="1"/>
        </w:numPr>
        <w:spacing w:line="55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32.42</w:t>
      </w:r>
      <w:r>
        <w:rPr>
          <w:rFonts w:hint="eastAsia" w:ascii="仿宋" w:hAnsi="仿宋" w:eastAsia="仿宋" w:cs="仿宋"/>
          <w:sz w:val="32"/>
          <w:szCs w:val="32"/>
        </w:rPr>
        <w:t>万元。主要包括：基本工资</w:t>
      </w:r>
      <w:r>
        <w:rPr>
          <w:rFonts w:hint="eastAsia" w:ascii="仿宋" w:hAnsi="仿宋" w:eastAsia="仿宋" w:cs="仿宋"/>
          <w:sz w:val="32"/>
          <w:szCs w:val="32"/>
          <w:lang w:val="en-US" w:eastAsia="zh-CN"/>
        </w:rPr>
        <w:t>18.9万元</w:t>
      </w:r>
      <w:r>
        <w:rPr>
          <w:rFonts w:hint="eastAsia" w:ascii="仿宋" w:hAnsi="仿宋" w:eastAsia="仿宋" w:cs="仿宋"/>
          <w:sz w:val="32"/>
          <w:szCs w:val="32"/>
        </w:rPr>
        <w:t>、社会保障缴费</w:t>
      </w:r>
      <w:r>
        <w:rPr>
          <w:rFonts w:hint="eastAsia" w:ascii="仿宋" w:hAnsi="仿宋" w:eastAsia="仿宋" w:cs="仿宋"/>
          <w:sz w:val="32"/>
          <w:szCs w:val="32"/>
          <w:lang w:val="en-US" w:eastAsia="zh-CN"/>
        </w:rPr>
        <w:t>3.13万元</w:t>
      </w:r>
      <w:r>
        <w:rPr>
          <w:rFonts w:hint="eastAsia" w:ascii="仿宋" w:hAnsi="仿宋" w:eastAsia="仿宋" w:cs="仿宋"/>
          <w:sz w:val="32"/>
          <w:szCs w:val="32"/>
        </w:rPr>
        <w:t>、其他工资福利支出</w:t>
      </w:r>
      <w:r>
        <w:rPr>
          <w:rFonts w:hint="eastAsia" w:ascii="仿宋" w:hAnsi="仿宋" w:eastAsia="仿宋" w:cs="仿宋"/>
          <w:sz w:val="32"/>
          <w:szCs w:val="32"/>
          <w:lang w:val="en-US" w:eastAsia="zh-CN"/>
        </w:rPr>
        <w:t>9.7万元</w:t>
      </w:r>
      <w:r>
        <w:rPr>
          <w:rFonts w:hint="eastAsia" w:ascii="仿宋" w:hAnsi="仿宋" w:eastAsia="仿宋" w:cs="仿宋"/>
          <w:sz w:val="32"/>
          <w:szCs w:val="32"/>
        </w:rPr>
        <w:t>、</w:t>
      </w:r>
      <w:r>
        <w:rPr>
          <w:rFonts w:hint="eastAsia" w:ascii="仿宋" w:hAnsi="仿宋" w:eastAsia="仿宋" w:cs="仿宋"/>
          <w:sz w:val="32"/>
          <w:szCs w:val="32"/>
          <w:lang w:eastAsia="zh-CN"/>
        </w:rPr>
        <w:t>住房公积金</w:t>
      </w:r>
      <w:r>
        <w:rPr>
          <w:rFonts w:hint="eastAsia" w:ascii="仿宋" w:hAnsi="仿宋" w:eastAsia="仿宋" w:cs="仿宋"/>
          <w:sz w:val="32"/>
          <w:szCs w:val="32"/>
          <w:lang w:val="en-US" w:eastAsia="zh-CN"/>
        </w:rPr>
        <w:t>0.69万元。</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七、一般公共预算“三公”经费支出预算情况说明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 年度</w:t>
      </w:r>
      <w:r>
        <w:rPr>
          <w:rStyle w:val="6"/>
          <w:rFonts w:hint="eastAsia" w:ascii="仿宋_GB2312" w:eastAsia="仿宋_GB2312"/>
          <w:szCs w:val="32"/>
          <w:lang w:eastAsia="zh-CN"/>
        </w:rPr>
        <w:t>无</w:t>
      </w:r>
      <w:r>
        <w:rPr>
          <w:rStyle w:val="6"/>
          <w:rFonts w:hint="eastAsia" w:ascii="仿宋_GB2312" w:eastAsia="仿宋_GB2312"/>
          <w:szCs w:val="32"/>
        </w:rPr>
        <w:t>一般公共预算拨款安排的“三公”经费预算支出</w:t>
      </w:r>
    </w:p>
    <w:p>
      <w:pPr>
        <w:numPr>
          <w:ilvl w:val="0"/>
          <w:numId w:val="2"/>
        </w:num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lang w:eastAsia="zh-CN"/>
        </w:rPr>
        <w:t>无</w:t>
      </w:r>
      <w:r>
        <w:rPr>
          <w:rStyle w:val="6"/>
          <w:rFonts w:hint="eastAsia" w:ascii="仿宋_GB2312" w:eastAsia="仿宋_GB2312"/>
          <w:szCs w:val="32"/>
        </w:rPr>
        <w:t>因公出国（境）费预算支出</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2．</w:t>
      </w:r>
      <w:r>
        <w:rPr>
          <w:rStyle w:val="6"/>
          <w:rFonts w:hint="eastAsia" w:ascii="仿宋_GB2312" w:eastAsia="仿宋_GB2312"/>
          <w:szCs w:val="32"/>
          <w:lang w:eastAsia="zh-CN"/>
        </w:rPr>
        <w:t>无</w:t>
      </w:r>
      <w:r>
        <w:rPr>
          <w:rStyle w:val="6"/>
          <w:rFonts w:hint="eastAsia" w:ascii="仿宋_GB2312" w:eastAsia="仿宋_GB2312"/>
          <w:szCs w:val="32"/>
        </w:rPr>
        <w:t>公务用车购置及运行费预算支出</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3．公务接待费预算支出</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八、政府性基金预算支出预算情况说明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eastAsia="zh-CN"/>
        </w:rPr>
        <w:t>无</w:t>
      </w:r>
      <w:r>
        <w:rPr>
          <w:rStyle w:val="6"/>
          <w:rFonts w:hint="eastAsia" w:ascii="仿宋_GB2312" w:eastAsia="仿宋_GB2312"/>
          <w:szCs w:val="32"/>
        </w:rPr>
        <w:t>政府性基金支出预算支出</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九、一般公共预算机关运行经费支出预算情况说明</w:t>
      </w:r>
    </w:p>
    <w:p>
      <w:pPr>
        <w:spacing w:line="550" w:lineRule="exact"/>
        <w:ind w:firstLine="0"/>
        <w:rPr>
          <w:rStyle w:val="6"/>
          <w:rFonts w:hint="eastAsia" w:ascii="仿宋_GB2312" w:eastAsia="仿宋_GB2312"/>
          <w:i/>
          <w:szCs w:val="32"/>
        </w:rPr>
      </w:pPr>
      <w:r>
        <w:rPr>
          <w:rStyle w:val="6"/>
          <w:rFonts w:hint="eastAsia" w:ascii="仿宋_GB2312" w:eastAsia="仿宋_GB2312"/>
          <w:szCs w:val="32"/>
        </w:rPr>
        <w:t>本年本部门</w:t>
      </w:r>
      <w:r>
        <w:rPr>
          <w:rStyle w:val="6"/>
          <w:rFonts w:hint="eastAsia" w:ascii="仿宋_GB2312" w:eastAsia="仿宋_GB2312"/>
          <w:szCs w:val="32"/>
          <w:lang w:eastAsia="zh-CN"/>
        </w:rPr>
        <w:t>无</w:t>
      </w:r>
      <w:r>
        <w:rPr>
          <w:rStyle w:val="6"/>
          <w:rFonts w:hint="eastAsia" w:ascii="仿宋_GB2312" w:eastAsia="仿宋_GB2312"/>
          <w:szCs w:val="32"/>
        </w:rPr>
        <w:t>一般公共预算机关运行经费预算支出</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十、政府采购支出预算情况说明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本年度</w:t>
      </w:r>
      <w:r>
        <w:rPr>
          <w:rStyle w:val="6"/>
          <w:rFonts w:hint="eastAsia" w:ascii="仿宋_GB2312" w:eastAsia="仿宋_GB2312"/>
          <w:szCs w:val="32"/>
          <w:lang w:eastAsia="zh-CN"/>
        </w:rPr>
        <w:t>无</w:t>
      </w:r>
      <w:r>
        <w:rPr>
          <w:rStyle w:val="6"/>
          <w:rFonts w:hint="eastAsia" w:ascii="仿宋_GB2312" w:eastAsia="仿宋_GB2312"/>
          <w:szCs w:val="32"/>
        </w:rPr>
        <w:t>政府采购支出预算</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十一、国有资产占用情况</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本部门共有车辆</w:t>
      </w:r>
      <w:r>
        <w:rPr>
          <w:rStyle w:val="6"/>
          <w:rFonts w:hint="eastAsia" w:ascii="仿宋_GB2312" w:eastAsia="仿宋_GB2312"/>
          <w:szCs w:val="32"/>
          <w:lang w:val="en-US" w:eastAsia="zh-CN"/>
        </w:rPr>
        <w:t>1</w:t>
      </w:r>
      <w:r>
        <w:rPr>
          <w:rStyle w:val="6"/>
          <w:rFonts w:hint="eastAsia" w:ascii="仿宋_GB2312" w:eastAsia="仿宋_GB2312"/>
          <w:szCs w:val="32"/>
        </w:rPr>
        <w:t>辆，其中，其他用车</w:t>
      </w:r>
      <w:r>
        <w:rPr>
          <w:rStyle w:val="6"/>
          <w:rFonts w:hint="eastAsia" w:ascii="仿宋_GB2312" w:eastAsia="仿宋_GB2312"/>
          <w:szCs w:val="32"/>
          <w:lang w:val="en-US" w:eastAsia="zh-CN"/>
        </w:rPr>
        <w:t>1</w:t>
      </w:r>
      <w:r>
        <w:rPr>
          <w:rStyle w:val="6"/>
          <w:rFonts w:hint="eastAsia" w:ascii="仿宋_GB2312" w:eastAsia="仿宋_GB2312"/>
          <w:szCs w:val="32"/>
        </w:rPr>
        <w:t>辆等。</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十二、预算绩效目标设置情况说明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本年本部门</w:t>
      </w:r>
      <w:r>
        <w:rPr>
          <w:rStyle w:val="6"/>
          <w:rFonts w:hint="eastAsia" w:ascii="仿宋_GB2312" w:eastAsia="仿宋_GB2312"/>
          <w:szCs w:val="32"/>
          <w:lang w:eastAsia="zh-CN"/>
        </w:rPr>
        <w:t>无</w:t>
      </w:r>
      <w:r>
        <w:rPr>
          <w:rStyle w:val="6"/>
          <w:rFonts w:hint="eastAsia" w:ascii="仿宋_GB2312" w:eastAsia="仿宋_GB2312"/>
          <w:szCs w:val="32"/>
        </w:rPr>
        <w:t>项目实行绩效目标管理</w:t>
      </w:r>
    </w:p>
    <w:p>
      <w:pPr>
        <w:spacing w:before="312" w:beforeAutospacing="1" w:after="312" w:afterAutospacing="1" w:line="550" w:lineRule="exact"/>
        <w:ind w:firstLine="0"/>
        <w:jc w:val="center"/>
        <w:rPr>
          <w:rStyle w:val="6"/>
          <w:rFonts w:hint="eastAsia" w:ascii="黑体" w:hAnsi="黑体" w:eastAsia="黑体"/>
          <w:szCs w:val="32"/>
        </w:rPr>
      </w:pPr>
      <w:r>
        <w:rPr>
          <w:rStyle w:val="6"/>
          <w:rFonts w:hint="eastAsia" w:ascii="黑体" w:hAnsi="黑体" w:eastAsia="黑体"/>
          <w:szCs w:val="32"/>
        </w:rPr>
        <w:t>第四部分　名词解释</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一、财政拨款：</w:t>
      </w:r>
      <w:r>
        <w:rPr>
          <w:rStyle w:val="6"/>
          <w:rFonts w:hint="eastAsia" w:ascii="仿宋_GB2312" w:eastAsia="仿宋_GB2312"/>
          <w:szCs w:val="32"/>
        </w:rPr>
        <w:t>指一般公共预算财政拨款和政府性基金预算财政拨款。</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二、一般公共预算：</w:t>
      </w:r>
      <w:r>
        <w:rPr>
          <w:rStyle w:val="6"/>
          <w:rFonts w:hint="eastAsia" w:ascii="仿宋_GB2312" w:eastAsia="仿宋_GB2312"/>
          <w:szCs w:val="32"/>
        </w:rPr>
        <w:t>包括公共财政拨款（补助）资金、专项收入。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三、财政专户管理资金：</w:t>
      </w:r>
      <w:r>
        <w:rPr>
          <w:rStyle w:val="6"/>
          <w:rFonts w:hint="eastAsia" w:ascii="仿宋_GB2312" w:eastAsia="仿宋_GB2312"/>
          <w:szCs w:val="32"/>
        </w:rPr>
        <w:t>包括专户管理行政事业性收费（主要是教育收费）、其他非税收入。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四、其他资金：</w:t>
      </w:r>
      <w:r>
        <w:rPr>
          <w:rStyle w:val="6"/>
          <w:rFonts w:hint="eastAsia" w:ascii="仿宋_GB2312" w:eastAsia="仿宋_GB2312"/>
          <w:szCs w:val="32"/>
        </w:rPr>
        <w:t>包括事业收入、经营收入、其他收入等。</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五、基本支出：</w:t>
      </w:r>
      <w:r>
        <w:rPr>
          <w:rStyle w:val="6"/>
          <w:rFonts w:hint="eastAsia" w:ascii="仿宋_GB2312" w:eastAsia="仿宋_GB2312"/>
          <w:szCs w:val="32"/>
        </w:rPr>
        <w:t>指为保障机构正常运转、完成工作任务而发生的人员支出和公用支出。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六、项目支出：</w:t>
      </w:r>
      <w:r>
        <w:rPr>
          <w:rStyle w:val="6"/>
          <w:rFonts w:hint="eastAsia" w:ascii="仿宋_GB2312" w:eastAsia="仿宋_GB2312"/>
          <w:szCs w:val="32"/>
        </w:rPr>
        <w:t>指在基本支出之外为完成特定工作任务和事业发展目标所发生的支出。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七、单位预留机动经费：</w:t>
      </w:r>
      <w:r>
        <w:rPr>
          <w:rStyle w:val="6"/>
          <w:rFonts w:hint="eastAsia" w:ascii="仿宋_GB2312" w:eastAsia="仿宋_GB2312"/>
          <w:szCs w:val="32"/>
        </w:rPr>
        <w:t>指预算单位年初预留用于年度执行中增人、增资等不可预见支出的经费。</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八、“三公”经费</w:t>
      </w:r>
      <w:r>
        <w:rPr>
          <w:rStyle w:val="6"/>
          <w:rFonts w:hint="eastAsia" w:ascii="仿宋_GB2312" w:eastAsia="仿宋_GB231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九、机关运行经费</w:t>
      </w:r>
      <w:r>
        <w:rPr>
          <w:rStyle w:val="6"/>
          <w:rFonts w:hint="eastAsia" w:ascii="仿宋_GB2312" w:eastAsia="仿宋_GB2312"/>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6"/>
          <w:rFonts w:hint="eastAsia" w:ascii="仿宋_GB2312" w:eastAsia="仿宋_GB2312"/>
          <w:szCs w:val="32"/>
        </w:rPr>
      </w:pPr>
    </w:p>
    <w:p>
      <w:pPr>
        <w:ind w:firstLine="0"/>
        <w:rPr>
          <w:rStyle w:val="6"/>
          <w:rFonts w:hint="eastAsia" w:ascii="仿宋_GB2312" w:eastAsia="仿宋_GB2312"/>
          <w:szCs w:val="32"/>
        </w:rPr>
      </w:pPr>
    </w:p>
    <w:p>
      <w:bookmarkStart w:id="0" w:name="_GoBack"/>
      <w:bookmarkEnd w:id="0"/>
    </w:p>
    <w:sectPr>
      <w:footerReference r:id="rId5" w:type="default"/>
      <w:footerReference r:id="rId6" w:type="even"/>
      <w:pgSz w:w="11906" w:h="16838"/>
      <w:pgMar w:top="1814" w:right="1588" w:bottom="1985"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微软雅黑"/>
    <w:panose1 w:val="00000000000000000000"/>
    <w:charset w:val="86"/>
    <w:family w:val="auto"/>
    <w:pitch w:val="default"/>
    <w:sig w:usb0="00000000" w:usb1="00000000"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ind w:right="360"/>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7"/>
      </w:rPr>
    </w:pPr>
  </w:p>
  <w:p>
    <w:pPr>
      <w:pStyle w:val="3"/>
      <w:ind w:right="360"/>
      <w:rPr>
        <w:rStyle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78837"/>
    <w:multiLevelType w:val="singleLevel"/>
    <w:tmpl w:val="23F78837"/>
    <w:lvl w:ilvl="0" w:tentative="0">
      <w:start w:val="1"/>
      <w:numFmt w:val="chineseCounting"/>
      <w:suff w:val="nothing"/>
      <w:lvlText w:val="（%1）"/>
      <w:lvlJc w:val="left"/>
      <w:rPr>
        <w:rFonts w:hint="eastAsia"/>
      </w:rPr>
    </w:lvl>
  </w:abstractNum>
  <w:abstractNum w:abstractNumId="1">
    <w:nsid w:val="2B5D7B2A"/>
    <w:multiLevelType w:val="singleLevel"/>
    <w:tmpl w:val="2B5D7B2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CA1C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paragraph" w:styleId="2">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pacing w:line="240" w:lineRule="auto"/>
      <w:ind w:firstLine="0"/>
      <w:jc w:val="left"/>
    </w:pPr>
    <w:rPr>
      <w:rFonts w:eastAsia="宋体"/>
      <w:kern w:val="2"/>
      <w:sz w:val="18"/>
      <w:szCs w:val="18"/>
    </w:rPr>
  </w:style>
  <w:style w:type="character" w:customStyle="1" w:styleId="6">
    <w:name w:val="NormalCharacter"/>
    <w:semiHidden/>
    <w:qFormat/>
    <w:uiPriority w:val="0"/>
  </w:style>
  <w:style w:type="character" w:customStyle="1" w:styleId="7">
    <w:name w:val="Page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2019-03-24T03:20:29Z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2052-11.1.0.10567</vt:lpwstr>
  </property>
  <property fmtid="{D5CDD505-2E9C-101B-9397-08002B2CF9AE}" pid="3" name="ICV">
    <vt:lpwstr>1567963003904F0D9A836D4E8FE91275</vt:lpwstr>
  </property>
</Properties>
</file>