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Nimbus Roman" w:hAnsi="Nimbus Roman" w:eastAsia="CESI仿宋-GB2312" w:cs="Nimbus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黎城县城乡建设和交通运输局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关于对违法超限运输道路运输企业实施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停业整顿的公告</w:t>
      </w:r>
    </w:p>
    <w:bookmarkEnd w:id="0"/>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sz w:val="32"/>
          <w:szCs w:val="32"/>
        </w:rPr>
      </w:pPr>
      <w:r>
        <w:rPr>
          <w:rFonts w:hint="eastAsia" w:ascii="CESI仿宋-GB2312" w:hAnsi="CESI仿宋-GB2312" w:eastAsia="CESI仿宋-GB2312" w:cs="CESI仿宋-GB2312"/>
          <w:sz w:val="32"/>
          <w:szCs w:val="32"/>
        </w:rPr>
        <w:t>为进一步压实道路运输企业治超责任，严厉打击超限超载运输违法行为，依据《公路安全保护条例》《超限运输车辆管理规定》等法律法规，我局依法对存在违法超限超载运输行为的两家道路运输企业作出责令停业整顿的行政处罚。现将有关事项公告如下：</w:t>
      </w:r>
      <w:r>
        <w:rPr>
          <w:rFonts w:hint="eastAsia" w:ascii="CESI仿宋-GB2312" w:hAnsi="CESI仿宋-GB2312" w:eastAsia="CESI仿宋-GB2312" w:cs="CESI仿宋-GB2312"/>
          <w:sz w:val="32"/>
          <w:szCs w:val="32"/>
          <w:lang w:val="en-US" w:eastAsia="zh-CN"/>
        </w:rPr>
        <w:br w:type="textWrapping"/>
      </w:r>
      <w:r>
        <w:rPr>
          <w:rFonts w:hint="eastAsia" w:ascii="Times New Roman" w:hAnsi="Times New Roman" w:eastAsia="仿宋" w:cs="Times New Roman"/>
          <w:sz w:val="32"/>
          <w:szCs w:val="32"/>
          <w:lang w:val="en-US" w:eastAsia="zh-CN"/>
        </w:rPr>
        <w:t xml:space="preserve">    </w:t>
      </w:r>
      <w:r>
        <w:rPr>
          <w:rFonts w:hint="eastAsia" w:ascii="黑体" w:hAnsi="黑体" w:eastAsia="黑体" w:cs="黑体"/>
          <w:sz w:val="32"/>
          <w:szCs w:val="32"/>
          <w:lang w:val="en-US" w:eastAsia="zh-CN"/>
        </w:rPr>
        <w:t>一、停业整顿企业基本情况</w:t>
      </w:r>
    </w:p>
    <w:tbl>
      <w:tblPr>
        <w:tblStyle w:val="3"/>
        <w:tblpPr w:vertAnchor="text" w:tblpXSpec="left"/>
        <w:tblW w:w="90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2"/>
        <w:gridCol w:w="1736"/>
        <w:gridCol w:w="1226"/>
        <w:gridCol w:w="2908"/>
        <w:gridCol w:w="1317"/>
        <w:gridCol w:w="11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3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173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企业名称</w:t>
            </w:r>
          </w:p>
        </w:tc>
        <w:tc>
          <w:tcPr>
            <w:tcW w:w="122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法定</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代表人</w:t>
            </w:r>
          </w:p>
        </w:tc>
        <w:tc>
          <w:tcPr>
            <w:tcW w:w="290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统一社会信用代码</w:t>
            </w:r>
          </w:p>
        </w:tc>
        <w:tc>
          <w:tcPr>
            <w:tcW w:w="131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现有车辆</w:t>
            </w:r>
          </w:p>
        </w:tc>
        <w:tc>
          <w:tcPr>
            <w:tcW w:w="118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违法车辆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rPr>
            </w:pPr>
            <w:r>
              <w:rPr>
                <w:rFonts w:hint="default" w:ascii="Nimbus Roman" w:hAnsi="Nimbus Roman" w:eastAsia="仿宋" w:cs="Nimbus Roman"/>
                <w:sz w:val="24"/>
                <w:szCs w:val="24"/>
              </w:rPr>
              <w:t>1</w:t>
            </w:r>
          </w:p>
        </w:tc>
        <w:tc>
          <w:tcPr>
            <w:tcW w:w="173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rPr>
            </w:pPr>
            <w:r>
              <w:rPr>
                <w:rFonts w:hint="default" w:ascii="Nimbus Roman" w:hAnsi="Nimbus Roman" w:eastAsia="仿宋" w:cs="Nimbus Roman"/>
                <w:sz w:val="24"/>
                <w:szCs w:val="24"/>
                <w:lang w:eastAsia="zh-CN"/>
              </w:rPr>
              <w:t>黎城县鑫隆元商贸</w:t>
            </w:r>
            <w:r>
              <w:rPr>
                <w:rFonts w:hint="default" w:ascii="Nimbus Roman" w:hAnsi="Nimbus Roman" w:eastAsia="仿宋" w:cs="Nimbus Roman"/>
                <w:sz w:val="24"/>
                <w:szCs w:val="24"/>
              </w:rPr>
              <w:t>有限公司</w:t>
            </w:r>
          </w:p>
        </w:tc>
        <w:tc>
          <w:tcPr>
            <w:tcW w:w="122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rPr>
            </w:pPr>
            <w:r>
              <w:rPr>
                <w:rFonts w:hint="default" w:ascii="Nimbus Roman" w:hAnsi="Nimbus Roman" w:eastAsia="仿宋" w:cs="Nimbus Roman"/>
                <w:sz w:val="24"/>
                <w:szCs w:val="24"/>
              </w:rPr>
              <w:t>李路辉</w:t>
            </w:r>
          </w:p>
        </w:tc>
        <w:tc>
          <w:tcPr>
            <w:tcW w:w="29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eastAsia="zh-CN"/>
              </w:rPr>
            </w:pPr>
            <w:r>
              <w:rPr>
                <w:rFonts w:hint="default" w:ascii="Nimbus Roman" w:hAnsi="Nimbus Roman" w:eastAsia="仿宋" w:cs="Nimbus Roman"/>
                <w:sz w:val="24"/>
                <w:szCs w:val="24"/>
                <w:lang w:val="en-US" w:eastAsia="zh-CN"/>
              </w:rPr>
              <w:t>91140426MAOL81OL42</w:t>
            </w:r>
          </w:p>
        </w:tc>
        <w:tc>
          <w:tcPr>
            <w:tcW w:w="131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eastAsia="zh-CN"/>
              </w:rPr>
            </w:pPr>
            <w:r>
              <w:rPr>
                <w:rFonts w:hint="default" w:ascii="Nimbus Roman" w:hAnsi="Nimbus Roman" w:eastAsia="仿宋" w:cs="Nimbus Roman"/>
                <w:sz w:val="24"/>
                <w:szCs w:val="24"/>
                <w:lang w:val="en-US" w:eastAsia="zh-CN"/>
              </w:rPr>
              <w:t>35</w:t>
            </w:r>
          </w:p>
        </w:tc>
        <w:tc>
          <w:tcPr>
            <w:tcW w:w="118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eastAsia="zh-CN"/>
              </w:rPr>
            </w:pPr>
            <w:r>
              <w:rPr>
                <w:rFonts w:hint="default" w:ascii="Nimbus Roman" w:hAnsi="Nimbus Roman" w:eastAsia="仿宋" w:cs="Nimbus Roman"/>
                <w:sz w:val="24"/>
                <w:szCs w:val="24"/>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rPr>
            </w:pPr>
            <w:r>
              <w:rPr>
                <w:rFonts w:hint="default" w:ascii="Nimbus Roman" w:hAnsi="Nimbus Roman" w:eastAsia="仿宋" w:cs="Nimbus Roman"/>
                <w:sz w:val="24"/>
                <w:szCs w:val="24"/>
              </w:rPr>
              <w:t>2</w:t>
            </w:r>
          </w:p>
        </w:tc>
        <w:tc>
          <w:tcPr>
            <w:tcW w:w="173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rPr>
            </w:pPr>
            <w:r>
              <w:rPr>
                <w:rFonts w:hint="default" w:ascii="Nimbus Roman" w:hAnsi="Nimbus Roman" w:eastAsia="仿宋" w:cs="Nimbus Roman"/>
                <w:sz w:val="24"/>
                <w:szCs w:val="24"/>
                <w:lang w:eastAsia="zh-CN"/>
              </w:rPr>
              <w:t>黎城县祥瑞运输</w:t>
            </w:r>
            <w:r>
              <w:rPr>
                <w:rFonts w:hint="default" w:ascii="Nimbus Roman" w:hAnsi="Nimbus Roman" w:eastAsia="仿宋" w:cs="Nimbus Roman"/>
                <w:sz w:val="24"/>
                <w:szCs w:val="24"/>
              </w:rPr>
              <w:t>有限公司</w:t>
            </w:r>
          </w:p>
        </w:tc>
        <w:tc>
          <w:tcPr>
            <w:tcW w:w="122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eastAsia="zh-CN"/>
              </w:rPr>
            </w:pPr>
            <w:r>
              <w:rPr>
                <w:rFonts w:hint="default" w:ascii="Nimbus Roman" w:hAnsi="Nimbus Roman" w:eastAsia="仿宋" w:cs="Nimbus Roman"/>
                <w:sz w:val="24"/>
                <w:szCs w:val="24"/>
                <w:lang w:val="en-US" w:eastAsia="zh-CN"/>
              </w:rPr>
              <w:t>崔鹏征</w:t>
            </w:r>
          </w:p>
        </w:tc>
        <w:tc>
          <w:tcPr>
            <w:tcW w:w="29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rPr>
            </w:pPr>
            <w:r>
              <w:rPr>
                <w:rFonts w:hint="default" w:ascii="Nimbus Roman" w:hAnsi="Nimbus Roman" w:eastAsia="仿宋" w:cs="Nimbus Roman"/>
                <w:sz w:val="24"/>
                <w:szCs w:val="24"/>
                <w:lang w:val="en-US" w:eastAsia="zh-CN"/>
              </w:rPr>
              <w:t>91140426MAK410WH50</w:t>
            </w:r>
          </w:p>
        </w:tc>
        <w:tc>
          <w:tcPr>
            <w:tcW w:w="131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eastAsia="zh-CN"/>
              </w:rPr>
            </w:pPr>
            <w:r>
              <w:rPr>
                <w:rFonts w:hint="default" w:ascii="Nimbus Roman" w:hAnsi="Nimbus Roman" w:eastAsia="仿宋" w:cs="Nimbus Roman"/>
                <w:sz w:val="24"/>
                <w:szCs w:val="24"/>
                <w:lang w:val="en-US" w:eastAsia="zh-CN"/>
              </w:rPr>
              <w:t>9</w:t>
            </w:r>
          </w:p>
        </w:tc>
        <w:tc>
          <w:tcPr>
            <w:tcW w:w="118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Nimbus Roman" w:hAnsi="Nimbus Roman" w:eastAsia="仿宋" w:cs="Nimbus Roman"/>
                <w:sz w:val="24"/>
                <w:szCs w:val="24"/>
                <w:lang w:val="en-US" w:eastAsia="zh-CN"/>
              </w:rPr>
            </w:pPr>
            <w:r>
              <w:rPr>
                <w:rFonts w:hint="default" w:ascii="Nimbus Roman" w:hAnsi="Nimbus Roman" w:eastAsia="仿宋" w:cs="Nimbus Roman"/>
                <w:sz w:val="24"/>
                <w:szCs w:val="24"/>
                <w:lang w:val="en-US" w:eastAsia="zh-CN"/>
              </w:rPr>
              <w:t>4</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 w:cs="Times New Roman"/>
          <w:sz w:val="32"/>
          <w:szCs w:val="32"/>
          <w:lang w:val="en-US" w:eastAsia="zh-CN"/>
        </w:rPr>
      </w:pPr>
      <w:r>
        <w:rPr>
          <w:rFonts w:hint="eastAsia" w:ascii="黑体" w:hAnsi="黑体" w:eastAsia="黑体" w:cs="黑体"/>
          <w:sz w:val="32"/>
          <w:szCs w:val="32"/>
          <w:lang w:val="en-US" w:eastAsia="zh-CN"/>
        </w:rPr>
        <w:t>二、违法事实</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Nimbus Roman" w:hAnsi="Nimbus Roman" w:eastAsia="CESI仿宋-GB2312" w:cs="Nimbus Roman"/>
          <w:sz w:val="32"/>
          <w:szCs w:val="32"/>
        </w:rPr>
      </w:pPr>
      <w:r>
        <w:rPr>
          <w:rFonts w:hint="default" w:ascii="Nimbus Roman" w:hAnsi="Nimbus Roman" w:eastAsia="CESI仿宋-GB2312" w:cs="Nimbus Roman"/>
          <w:sz w:val="32"/>
          <w:szCs w:val="32"/>
          <w:lang w:val="en-US" w:eastAsia="zh-CN"/>
        </w:rPr>
        <w:t>（一）黎城县祥瑞运输有限公司2026年以来（</w:t>
      </w:r>
      <w:r>
        <w:rPr>
          <w:rFonts w:hint="default" w:ascii="Nimbus Roman" w:hAnsi="Nimbus Roman" w:eastAsia="CESI仿宋-GB2312" w:cs="Nimbus Roman"/>
          <w:sz w:val="32"/>
          <w:szCs w:val="32"/>
        </w:rPr>
        <w:t>1年内</w:t>
      </w:r>
      <w:r>
        <w:rPr>
          <w:rFonts w:hint="default" w:ascii="Nimbus Roman" w:hAnsi="Nimbus Roman" w:eastAsia="CESI仿宋-GB2312" w:cs="Nimbus Roman"/>
          <w:sz w:val="32"/>
          <w:szCs w:val="32"/>
          <w:lang w:eastAsia="zh-CN"/>
        </w:rPr>
        <w:t>）</w:t>
      </w:r>
      <w:r>
        <w:rPr>
          <w:rFonts w:hint="default" w:ascii="Nimbus Roman" w:hAnsi="Nimbus Roman" w:eastAsia="CESI仿宋-GB2312" w:cs="Nimbus Roman"/>
          <w:sz w:val="32"/>
          <w:szCs w:val="32"/>
        </w:rPr>
        <w:t>违法超限运输货运车辆占比已达到本单位货运车辆总数10%</w:t>
      </w:r>
      <w:r>
        <w:rPr>
          <w:rFonts w:hint="default" w:ascii="Nimbus Roman" w:hAnsi="Nimbus Roman" w:eastAsia="CESI仿宋-GB2312" w:cs="Nimbus Roman"/>
          <w:sz w:val="32"/>
          <w:szCs w:val="32"/>
          <w:lang w:eastAsia="zh-CN"/>
        </w:rPr>
        <w:t>（公司现共有运输车辆</w:t>
      </w:r>
      <w:r>
        <w:rPr>
          <w:rFonts w:hint="default" w:ascii="Nimbus Roman" w:hAnsi="Nimbus Roman" w:eastAsia="CESI仿宋-GB2312" w:cs="Nimbus Roman"/>
          <w:sz w:val="32"/>
          <w:szCs w:val="32"/>
          <w:lang w:val="en-US" w:eastAsia="zh-CN"/>
        </w:rPr>
        <w:t>9辆，其中4</w:t>
      </w:r>
      <w:r>
        <w:rPr>
          <w:rFonts w:hint="default" w:ascii="Nimbus Roman" w:hAnsi="Nimbus Roman" w:eastAsia="CESI仿宋-GB2312" w:cs="Nimbus Roman"/>
          <w:sz w:val="32"/>
          <w:szCs w:val="32"/>
        </w:rPr>
        <w:t>辆营运</w:t>
      </w:r>
      <w:r>
        <w:rPr>
          <w:rFonts w:hint="default" w:ascii="Nimbus Roman" w:hAnsi="Nimbus Roman" w:eastAsia="CESI仿宋-GB2312" w:cs="Nimbus Roman"/>
          <w:sz w:val="32"/>
          <w:szCs w:val="32"/>
          <w:lang w:eastAsia="zh-CN"/>
        </w:rPr>
        <w:t>类</w:t>
      </w:r>
      <w:r>
        <w:rPr>
          <w:rFonts w:hint="default" w:ascii="Nimbus Roman" w:hAnsi="Nimbus Roman" w:eastAsia="CESI仿宋-GB2312" w:cs="Nimbus Roman"/>
          <w:sz w:val="32"/>
          <w:szCs w:val="32"/>
        </w:rPr>
        <w:t>货运车辆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Nimbus Roman" w:hAnsi="Nimbus Roman" w:eastAsia="CESI仿宋-GB2312" w:cs="Nimbus Roman"/>
          <w:sz w:val="32"/>
          <w:szCs w:val="32"/>
          <w:lang w:eastAsia="zh-CN"/>
        </w:rPr>
      </w:pPr>
      <w:r>
        <w:rPr>
          <w:rFonts w:hint="default" w:ascii="Nimbus Roman" w:hAnsi="Nimbus Roman" w:eastAsia="CESI仿宋-GB2312" w:cs="Nimbus Roman"/>
          <w:sz w:val="32"/>
          <w:szCs w:val="32"/>
        </w:rPr>
        <w:t>累计发生严重超限超载违法行为</w:t>
      </w:r>
      <w:r>
        <w:rPr>
          <w:rFonts w:hint="default" w:ascii="Nimbus Roman" w:hAnsi="Nimbus Roman" w:eastAsia="CESI仿宋-GB2312" w:cs="Nimbus Roman"/>
          <w:sz w:val="32"/>
          <w:szCs w:val="32"/>
          <w:lang w:val="en-US" w:eastAsia="zh-CN"/>
        </w:rPr>
        <w:t>6</w:t>
      </w:r>
      <w:r>
        <w:rPr>
          <w:rFonts w:hint="default" w:ascii="Nimbus Roman" w:hAnsi="Nimbus Roman" w:eastAsia="CESI仿宋-GB2312" w:cs="Nimbus Roman"/>
          <w:sz w:val="32"/>
          <w:szCs w:val="32"/>
        </w:rPr>
        <w:t>次</w:t>
      </w:r>
      <w:r>
        <w:rPr>
          <w:rFonts w:hint="default" w:ascii="Nimbus Roman" w:hAnsi="Nimbus Roman" w:eastAsia="CESI仿宋-GB2312" w:cs="Nimbus Roman"/>
          <w:sz w:val="32"/>
          <w:szCs w:val="32"/>
          <w:lang w:eastAsia="zh-CN"/>
        </w:rPr>
        <w:t>，</w:t>
      </w:r>
      <w:r>
        <w:rPr>
          <w:rFonts w:hint="default" w:ascii="Nimbus Roman" w:hAnsi="Nimbus Roman" w:eastAsia="CESI仿宋-GB2312" w:cs="Nimbus Roman"/>
          <w:sz w:val="32"/>
          <w:szCs w:val="32"/>
          <w:lang w:val="en-US" w:eastAsia="zh-CN"/>
        </w:rPr>
        <w:t>占比为44%</w:t>
      </w:r>
      <w:r>
        <w:rPr>
          <w:rFonts w:hint="default" w:ascii="Nimbus Roman" w:hAnsi="Nimbus Roman" w:eastAsia="CESI仿宋-GB2312" w:cs="Nimbus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Nimbus Roman" w:hAnsi="Nimbus Roman" w:eastAsia="CESI仿宋-GB2312" w:cs="Nimbus Roman"/>
          <w:sz w:val="32"/>
          <w:szCs w:val="32"/>
          <w:lang w:val="en-US" w:eastAsia="zh-CN"/>
        </w:rPr>
        <w:t>（二）</w:t>
      </w:r>
      <w:r>
        <w:rPr>
          <w:rFonts w:hint="default" w:ascii="Nimbus Roman" w:hAnsi="Nimbus Roman" w:eastAsia="CESI仿宋-GB2312" w:cs="Nimbus Roman"/>
          <w:sz w:val="32"/>
          <w:szCs w:val="32"/>
          <w:lang w:eastAsia="zh-CN"/>
        </w:rPr>
        <w:t>黎城县鑫隆元商贸</w:t>
      </w:r>
      <w:r>
        <w:rPr>
          <w:rFonts w:hint="default" w:ascii="Nimbus Roman" w:hAnsi="Nimbus Roman" w:eastAsia="CESI仿宋-GB2312" w:cs="Nimbus Roman"/>
          <w:sz w:val="32"/>
          <w:szCs w:val="32"/>
        </w:rPr>
        <w:t>有限公司</w:t>
      </w:r>
      <w:r>
        <w:rPr>
          <w:rFonts w:hint="default" w:ascii="Nimbus Roman" w:hAnsi="Nimbus Roman" w:eastAsia="CESI仿宋-GB2312" w:cs="Nimbus Roman"/>
          <w:sz w:val="32"/>
          <w:szCs w:val="32"/>
          <w:lang w:val="en-US" w:eastAsia="zh-CN"/>
        </w:rPr>
        <w:t>2026年以来（</w:t>
      </w:r>
      <w:r>
        <w:rPr>
          <w:rFonts w:hint="default" w:ascii="Nimbus Roman" w:hAnsi="Nimbus Roman" w:eastAsia="CESI仿宋-GB2312" w:cs="Nimbus Roman"/>
          <w:sz w:val="32"/>
          <w:szCs w:val="32"/>
        </w:rPr>
        <w:t>1年内</w:t>
      </w:r>
      <w:r>
        <w:rPr>
          <w:rFonts w:hint="default" w:ascii="Nimbus Roman" w:hAnsi="Nimbus Roman" w:eastAsia="CESI仿宋-GB2312" w:cs="Nimbus Roman"/>
          <w:sz w:val="32"/>
          <w:szCs w:val="32"/>
          <w:lang w:eastAsia="zh-CN"/>
        </w:rPr>
        <w:t>）</w:t>
      </w:r>
      <w:r>
        <w:rPr>
          <w:rFonts w:hint="default" w:ascii="Nimbus Roman" w:hAnsi="Nimbus Roman" w:eastAsia="CESI仿宋-GB2312" w:cs="Nimbus Roman"/>
          <w:sz w:val="32"/>
          <w:szCs w:val="32"/>
        </w:rPr>
        <w:t>违法超限运输货运车辆占比已达到本单位货运车辆总数10%</w:t>
      </w:r>
      <w:r>
        <w:rPr>
          <w:rFonts w:hint="default" w:ascii="Nimbus Roman" w:hAnsi="Nimbus Roman" w:eastAsia="CESI仿宋-GB2312" w:cs="Nimbus Roman"/>
          <w:sz w:val="32"/>
          <w:szCs w:val="32"/>
          <w:lang w:eastAsia="zh-CN"/>
        </w:rPr>
        <w:t>（公司现共有运输车辆</w:t>
      </w:r>
      <w:r>
        <w:rPr>
          <w:rFonts w:hint="default" w:ascii="Nimbus Roman" w:hAnsi="Nimbus Roman" w:eastAsia="CESI仿宋-GB2312" w:cs="Nimbus Roman"/>
          <w:sz w:val="32"/>
          <w:szCs w:val="32"/>
          <w:lang w:val="en-US" w:eastAsia="zh-CN"/>
        </w:rPr>
        <w:t>35辆，其中</w:t>
      </w:r>
      <w:r>
        <w:rPr>
          <w:rFonts w:hint="default" w:ascii="Nimbus Roman" w:hAnsi="Nimbus Roman" w:eastAsia="CESI仿宋-GB2312" w:cs="Nimbus Roman"/>
          <w:sz w:val="32"/>
          <w:szCs w:val="32"/>
          <w:lang w:eastAsia="zh-CN"/>
        </w:rPr>
        <w:t>7辆营运类货运车辆累计发生严重超限超载违法行为8次，</w:t>
      </w:r>
      <w:r>
        <w:rPr>
          <w:rFonts w:hint="default" w:ascii="Nimbus Roman" w:hAnsi="Nimbus Roman" w:eastAsia="CESI仿宋-GB2312" w:cs="Nimbus Roman"/>
          <w:sz w:val="32"/>
          <w:szCs w:val="32"/>
          <w:lang w:val="en-US" w:eastAsia="zh-CN"/>
        </w:rPr>
        <w:t>占比为20%）。</w:t>
      </w:r>
      <w:r>
        <w:rPr>
          <w:rFonts w:hint="default" w:ascii="Times New Roman" w:hAnsi="Times New Roman" w:eastAsia="仿宋" w:cs="Times New Roman"/>
          <w:sz w:val="32"/>
          <w:szCs w:val="32"/>
          <w:lang w:val="en-US" w:eastAsia="zh-CN"/>
        </w:rPr>
        <w:br w:type="textWrapping"/>
      </w:r>
      <w:r>
        <w:rPr>
          <w:rFonts w:hint="eastAsia" w:ascii="Times New Roman" w:hAnsi="Times New Roman" w:eastAsia="仿宋" w:cs="Times New Roman"/>
          <w:sz w:val="32"/>
          <w:szCs w:val="32"/>
          <w:lang w:val="en-US" w:eastAsia="zh-CN"/>
        </w:rPr>
        <w:t xml:space="preserve"> </w:t>
      </w:r>
      <w:r>
        <w:rPr>
          <w:rFonts w:hint="eastAsia" w:ascii="黑体" w:hAnsi="黑体" w:eastAsia="黑体" w:cs="黑体"/>
          <w:sz w:val="32"/>
          <w:szCs w:val="32"/>
          <w:lang w:val="en-US" w:eastAsia="zh-CN"/>
        </w:rPr>
        <w:t xml:space="preserve">   三、处罚决定及依据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Nimbus Roman" w:hAnsi="Nimbus Roman" w:eastAsia="CESI仿宋-GB2312" w:cs="Nimbus Roman"/>
          <w:sz w:val="32"/>
          <w:szCs w:val="32"/>
          <w:lang w:val="en-US" w:eastAsia="zh-CN"/>
        </w:rPr>
        <w:t>上述行为违反了《超限运输车辆行驶公路管理规定》第二十九条的规定，依据《公路安全保护条例》第六十六条、《超限运输车辆行驶公路管理规定》第四十六条的规定，</w:t>
      </w:r>
      <w:r>
        <w:rPr>
          <w:rFonts w:hint="eastAsia" w:ascii="Nimbus Roman" w:hAnsi="Nimbus Roman" w:eastAsia="CESI仿宋-GB2312" w:cs="Nimbus Roman"/>
          <w:sz w:val="32"/>
          <w:szCs w:val="32"/>
          <w:lang w:val="en-US" w:eastAsia="zh-CN"/>
        </w:rPr>
        <w:t>黎城县城乡建设和</w:t>
      </w:r>
      <w:r>
        <w:rPr>
          <w:rFonts w:hint="default" w:ascii="Nimbus Roman" w:hAnsi="Nimbus Roman" w:eastAsia="CESI仿宋-GB2312" w:cs="Nimbus Roman"/>
          <w:sz w:val="32"/>
          <w:szCs w:val="32"/>
          <w:lang w:val="en-US" w:eastAsia="zh-CN"/>
        </w:rPr>
        <w:t>交通运输局依法做出责令</w:t>
      </w:r>
      <w:r>
        <w:rPr>
          <w:rFonts w:hint="eastAsia" w:ascii="Nimbus Roman" w:hAnsi="Nimbus Roman" w:eastAsia="CESI仿宋-GB2312" w:cs="Nimbus Roman"/>
          <w:sz w:val="32"/>
          <w:szCs w:val="32"/>
          <w:lang w:val="en-US" w:eastAsia="zh-CN"/>
        </w:rPr>
        <w:t>黎城县鑫隆元商贸有限公司</w:t>
      </w:r>
      <w:r>
        <w:rPr>
          <w:rFonts w:hint="default" w:ascii="Nimbus Roman" w:hAnsi="Nimbus Roman" w:eastAsia="CESI仿宋-GB2312" w:cs="Nimbus Roman"/>
          <w:sz w:val="32"/>
          <w:szCs w:val="32"/>
          <w:lang w:val="en-US" w:eastAsia="zh-CN"/>
        </w:rPr>
        <w:t>停业整顿</w:t>
      </w:r>
      <w:r>
        <w:rPr>
          <w:rFonts w:hint="eastAsia" w:ascii="Nimbus Roman" w:hAnsi="Nimbus Roman" w:eastAsia="CESI仿宋-GB2312" w:cs="Nimbus Roman"/>
          <w:sz w:val="32"/>
          <w:szCs w:val="32"/>
          <w:lang w:val="en-US" w:eastAsia="zh-CN"/>
        </w:rPr>
        <w:t>7</w:t>
      </w:r>
      <w:r>
        <w:rPr>
          <w:rFonts w:hint="default" w:ascii="Nimbus Roman" w:hAnsi="Nimbus Roman" w:eastAsia="CESI仿宋-GB2312" w:cs="Nimbus Roman"/>
          <w:sz w:val="32"/>
          <w:szCs w:val="32"/>
          <w:lang w:val="en-US" w:eastAsia="zh-CN"/>
        </w:rPr>
        <w:t>日、</w:t>
      </w:r>
      <w:r>
        <w:rPr>
          <w:rFonts w:hint="eastAsia" w:ascii="Nimbus Roman" w:hAnsi="Nimbus Roman" w:eastAsia="CESI仿宋-GB2312" w:cs="Nimbus Roman"/>
          <w:sz w:val="32"/>
          <w:szCs w:val="32"/>
          <w:lang w:val="en-US" w:eastAsia="zh-CN"/>
        </w:rPr>
        <w:t>黎城县祥瑞运输有限公司</w:t>
      </w:r>
      <w:r>
        <w:rPr>
          <w:rFonts w:hint="default" w:ascii="Nimbus Roman" w:hAnsi="Nimbus Roman" w:eastAsia="CESI仿宋-GB2312" w:cs="Nimbus Roman"/>
          <w:sz w:val="32"/>
          <w:szCs w:val="32"/>
          <w:lang w:val="en-US" w:eastAsia="zh-CN"/>
        </w:rPr>
        <w:t>停业整顿</w:t>
      </w:r>
      <w:r>
        <w:rPr>
          <w:rFonts w:hint="eastAsia" w:ascii="Nimbus Roman" w:hAnsi="Nimbus Roman" w:eastAsia="CESI仿宋-GB2312" w:cs="Nimbus Roman"/>
          <w:sz w:val="32"/>
          <w:szCs w:val="32"/>
          <w:lang w:val="en-US" w:eastAsia="zh-CN"/>
        </w:rPr>
        <w:t>15</w:t>
      </w:r>
      <w:r>
        <w:rPr>
          <w:rFonts w:hint="default" w:ascii="Nimbus Roman" w:hAnsi="Nimbus Roman" w:eastAsia="CESI仿宋-GB2312" w:cs="Nimbus Roman"/>
          <w:sz w:val="32"/>
          <w:szCs w:val="32"/>
          <w:lang w:val="en-US" w:eastAsia="zh-CN"/>
        </w:rPr>
        <w:t>日的行政处罚。</w:t>
      </w:r>
      <w:r>
        <w:rPr>
          <w:rFonts w:hint="default" w:ascii="Nimbus Roman" w:hAnsi="Nimbus Roman" w:eastAsia="CESI仿宋-GB2312" w:cs="Nimbus Roman"/>
          <w:sz w:val="32"/>
          <w:szCs w:val="32"/>
          <w:lang w:val="en-US" w:eastAsia="zh-CN"/>
        </w:rPr>
        <w:br w:type="textWrapping"/>
      </w:r>
      <w:r>
        <w:rPr>
          <w:rFonts w:hint="eastAsia" w:ascii="黑体" w:hAnsi="黑体" w:eastAsia="黑体" w:cs="黑体"/>
          <w:sz w:val="32"/>
          <w:szCs w:val="32"/>
          <w:lang w:val="en-US" w:eastAsia="zh-CN"/>
        </w:rPr>
        <w:t xml:space="preserve">    四、有关要求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Nimbus Roman" w:hAnsi="Nimbus Roman" w:eastAsia="仿宋" w:cs="Nimbus Roman"/>
          <w:sz w:val="32"/>
          <w:szCs w:val="32"/>
          <w:lang w:val="en-US" w:eastAsia="zh-CN"/>
        </w:rPr>
      </w:pPr>
      <w:r>
        <w:rPr>
          <w:rFonts w:hint="default" w:ascii="Nimbus Roman" w:hAnsi="Nimbus Roman" w:eastAsia="仿宋" w:cs="Nimbus Roman"/>
          <w:sz w:val="32"/>
          <w:szCs w:val="32"/>
          <w:lang w:val="en-US" w:eastAsia="zh-CN"/>
        </w:rPr>
        <w:t>（一）停业整顿企业须在停业整顿期限内完成整改，并向我局提交整改报告及相关整改印证资料。逾期未整改或整改不合格的，我局将依法吊销其《道路运输经营许可证》。</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Nimbus Roman" w:hAnsi="Nimbus Roman" w:eastAsia="仿宋" w:cs="Nimbus Roman"/>
          <w:sz w:val="32"/>
          <w:szCs w:val="32"/>
          <w:lang w:val="en-US" w:eastAsia="zh-CN"/>
        </w:rPr>
      </w:pPr>
      <w:r>
        <w:rPr>
          <w:rFonts w:hint="default" w:ascii="Nimbus Roman" w:hAnsi="Nimbus Roman" w:eastAsia="仿宋" w:cs="Nimbus Roman"/>
          <w:sz w:val="32"/>
          <w:szCs w:val="32"/>
          <w:lang w:val="en-US" w:eastAsia="zh-CN"/>
        </w:rPr>
        <w:t>（二）停业整顿期间，企业所属营运车辆一律不得上路运营，对擅自从事运输经营活动的，我局将依法从严查处。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Nimbus Roman" w:hAnsi="Nimbus Roman" w:eastAsia="仿宋" w:cs="Nimbus Roman"/>
          <w:sz w:val="32"/>
          <w:szCs w:val="32"/>
          <w:lang w:val="en-US" w:eastAsia="zh-CN"/>
        </w:rPr>
      </w:pPr>
      <w:r>
        <w:rPr>
          <w:rFonts w:hint="default" w:ascii="Nimbus Roman" w:hAnsi="Nimbus Roman" w:eastAsia="仿宋" w:cs="Nimbus Roman"/>
          <w:sz w:val="32"/>
          <w:szCs w:val="32"/>
          <w:lang w:val="en-US" w:eastAsia="zh-CN"/>
        </w:rPr>
        <w:t>（三）欢迎社会各界对上述企业停业整顿情况进行监督，发现违规运营行为的，可拨打举报电话：0355—6589813。</w:t>
      </w:r>
      <w:r>
        <w:rPr>
          <w:rFonts w:hint="default" w:ascii="Nimbus Roman" w:hAnsi="Nimbus Roman" w:eastAsia="仿宋" w:cs="Nimbus Roman"/>
          <w:sz w:val="32"/>
          <w:szCs w:val="32"/>
          <w:lang w:val="en-US" w:eastAsia="zh-CN"/>
        </w:rPr>
        <w:br w:type="textWrapping"/>
      </w:r>
      <w:r>
        <w:rPr>
          <w:rFonts w:hint="default" w:ascii="Nimbus Roman" w:hAnsi="Nimbus Roman" w:eastAsia="仿宋" w:cs="Nimbus Roman"/>
          <w:sz w:val="32"/>
          <w:szCs w:val="32"/>
          <w:lang w:val="en-US" w:eastAsia="zh-CN"/>
        </w:rPr>
        <w:t xml:space="preserve">    特此公告</w:t>
      </w:r>
      <w:r>
        <w:rPr>
          <w:rFonts w:hint="default" w:ascii="Nimbus Roman" w:hAnsi="Nimbus Roman" w:eastAsia="仿宋" w:cs="Nimbus Roman"/>
          <w:sz w:val="32"/>
          <w:szCs w:val="32"/>
          <w:lang w:val="en-US" w:eastAsia="zh-CN"/>
        </w:rPr>
        <w:br w:type="textWrapp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Nimbus Roman" w:hAnsi="Nimbus Roman" w:eastAsia="仿宋" w:cs="Nimbus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A3494"/>
    <w:rsid w:val="1B2B1532"/>
    <w:rsid w:val="264D28A0"/>
    <w:rsid w:val="2BAD5F97"/>
    <w:rsid w:val="457C0654"/>
    <w:rsid w:val="48F9CD6D"/>
    <w:rsid w:val="530EF54C"/>
    <w:rsid w:val="5EA2DFF4"/>
    <w:rsid w:val="75EF91BC"/>
    <w:rsid w:val="7A3A5E0C"/>
    <w:rsid w:val="7B1623D5"/>
    <w:rsid w:val="8F6D1BED"/>
    <w:rsid w:val="B1F9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24</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2026-08-26T16:13:00Z</dcterms:created>
  <dc:creator>Administrator</dc:creator>
  <cp:lastModifiedBy>kylin</cp:lastModifiedBy>
  <cp:lastPrinted>2026-08-26T18:02:00Z</cp:lastPrinted>
  <dcterms:modified xsi:type="dcterms:W3CDTF">2026-08-26T17:35:09Z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KSOTemplateDocerSaveRecord">
    <vt:lpwstr>eyJoZGlkIjoiYTBkYWQ4YjBmM2JjMmFlYjIwMjYxY2ZlMTUxNmUzNTEiLCJ1c2VySWQiOiI0NDM3MTMxMzUifQ==</vt:lpwstr>
  </property>
  <property fmtid="{D5CDD505-2E9C-101B-9397-08002B2CF9AE}" pid="4" name="ICV">
    <vt:lpwstr>A8288371FF62982B4DB38E6A8E8DC4C0</vt:lpwstr>
  </property>
</Properties>
</file>