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852" w:tblpY="1893"/>
        <w:tblOverlap w:val="never"/>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625"/>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53" w:type="dxa"/>
            <w:vMerge w:val="restart"/>
            <w:noWrap w:val="0"/>
            <w:vAlign w:val="center"/>
          </w:tcPr>
          <w:p>
            <w:pPr>
              <w:jc w:val="center"/>
              <w:rPr>
                <w:rFonts w:hint="default" w:eastAsia="宋体"/>
                <w:lang w:val="en-US" w:eastAsia="zh-CN"/>
              </w:rPr>
            </w:pPr>
            <w:r>
              <w:rPr>
                <w:rFonts w:hint="eastAsia"/>
                <w:lang w:val="en-US" w:eastAsia="zh-CN"/>
              </w:rPr>
              <w:t>0-6岁儿童健康管理</w:t>
            </w:r>
          </w:p>
        </w:tc>
        <w:tc>
          <w:tcPr>
            <w:tcW w:w="1625" w:type="dxa"/>
            <w:noWrap w:val="0"/>
            <w:vAlign w:val="center"/>
          </w:tcPr>
          <w:p>
            <w:pPr>
              <w:jc w:val="center"/>
              <w:rPr>
                <w:rFonts w:hint="eastAsia"/>
              </w:rPr>
            </w:pPr>
            <w:r>
              <w:rPr>
                <w:rFonts w:hint="eastAsia"/>
              </w:rPr>
              <w:t>服务对象</w:t>
            </w:r>
          </w:p>
        </w:tc>
        <w:tc>
          <w:tcPr>
            <w:tcW w:w="7035" w:type="dxa"/>
            <w:noWrap w:val="0"/>
            <w:vAlign w:val="center"/>
          </w:tcPr>
          <w:p>
            <w:pPr>
              <w:jc w:val="center"/>
              <w:rPr>
                <w:rFonts w:hint="default" w:eastAsia="宋体"/>
                <w:lang w:val="en-US" w:eastAsia="zh-CN"/>
              </w:rPr>
            </w:pPr>
            <w:r>
              <w:rPr>
                <w:rFonts w:hint="eastAsia"/>
                <w:lang w:eastAsia="zh-CN"/>
              </w:rPr>
              <w:t>辖区内居住的</w:t>
            </w:r>
            <w:r>
              <w:rPr>
                <w:rFonts w:hint="eastAsia"/>
                <w:lang w:val="en-US" w:eastAsia="zh-CN"/>
              </w:rPr>
              <w:t>0-6岁儿童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653" w:type="dxa"/>
            <w:vMerge w:val="continue"/>
            <w:noWrap w:val="0"/>
            <w:vAlign w:val="center"/>
          </w:tcPr>
          <w:p>
            <w:pPr>
              <w:jc w:val="center"/>
              <w:rPr>
                <w:rFonts w:hint="eastAsia"/>
              </w:rPr>
            </w:pPr>
          </w:p>
        </w:tc>
        <w:tc>
          <w:tcPr>
            <w:tcW w:w="1625" w:type="dxa"/>
            <w:noWrap w:val="0"/>
            <w:vAlign w:val="center"/>
          </w:tcPr>
          <w:p>
            <w:r>
              <w:rPr>
                <w:rFonts w:hint="eastAsia"/>
              </w:rPr>
              <w:t>服务机构信息、包括名称、地点、服务时间</w:t>
            </w:r>
          </w:p>
        </w:tc>
        <w:tc>
          <w:tcPr>
            <w:tcW w:w="7035" w:type="dxa"/>
            <w:noWrap w:val="0"/>
            <w:vAlign w:val="center"/>
          </w:tcPr>
          <w:p>
            <w:pPr>
              <w:jc w:val="center"/>
              <w:rPr>
                <w:rFonts w:hint="default" w:eastAsia="宋体"/>
                <w:lang w:val="en-US" w:eastAsia="zh-CN"/>
              </w:rPr>
            </w:pPr>
            <w:bookmarkStart w:id="0" w:name="_GoBack"/>
            <w:r>
              <w:rPr>
                <w:rFonts w:hint="eastAsia"/>
                <w:lang w:val="en-US" w:eastAsia="zh-CN"/>
              </w:rPr>
              <w:t>黎城县妇幼保健计划生育服务中心</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653" w:type="dxa"/>
            <w:vMerge w:val="continue"/>
            <w:noWrap w:val="0"/>
            <w:vAlign w:val="center"/>
          </w:tcPr>
          <w:p>
            <w:pPr>
              <w:jc w:val="center"/>
              <w:rPr>
                <w:rFonts w:hint="eastAsia"/>
              </w:rPr>
            </w:pPr>
          </w:p>
        </w:tc>
        <w:tc>
          <w:tcPr>
            <w:tcW w:w="1625" w:type="dxa"/>
            <w:noWrap w:val="0"/>
            <w:vAlign w:val="center"/>
          </w:tcPr>
          <w:p>
            <w:pPr>
              <w:jc w:val="center"/>
              <w:rPr>
                <w:rFonts w:hint="eastAsia"/>
              </w:rPr>
            </w:pPr>
            <w:r>
              <w:rPr>
                <w:rFonts w:hint="eastAsia"/>
              </w:rPr>
              <w:t>服务项目</w:t>
            </w:r>
          </w:p>
          <w:p>
            <w:pPr>
              <w:jc w:val="center"/>
              <w:rPr>
                <w:rFonts w:hint="eastAsia"/>
              </w:rPr>
            </w:pPr>
            <w:r>
              <w:rPr>
                <w:rFonts w:hint="eastAsia"/>
              </w:rPr>
              <w:t>和内容</w:t>
            </w:r>
          </w:p>
        </w:tc>
        <w:tc>
          <w:tcPr>
            <w:tcW w:w="7035" w:type="dxa"/>
            <w:noWrap w:val="0"/>
            <w:vAlign w:val="top"/>
          </w:tcPr>
          <w:p>
            <w:pPr>
              <w:rPr>
                <w:rFonts w:hint="eastAsia"/>
              </w:rPr>
            </w:pPr>
          </w:p>
          <w:p>
            <w:pPr>
              <w:numPr>
                <w:ilvl w:val="0"/>
                <w:numId w:val="1"/>
              </w:numPr>
              <w:rPr>
                <w:rFonts w:hint="eastAsia"/>
                <w:b/>
                <w:bCs/>
              </w:rPr>
            </w:pPr>
            <w:r>
              <w:rPr>
                <w:rFonts w:hint="eastAsia"/>
                <w:b/>
                <w:bCs/>
              </w:rPr>
              <w:t>新生儿家庭访视</w:t>
            </w:r>
          </w:p>
          <w:p>
            <w:pPr>
              <w:numPr>
                <w:ilvl w:val="0"/>
                <w:numId w:val="0"/>
              </w:numPr>
              <w:ind w:firstLine="420" w:firstLineChars="200"/>
              <w:rPr>
                <w:rFonts w:hint="eastAsia"/>
              </w:rPr>
            </w:pPr>
            <w:r>
              <w:rPr>
                <w:rFonts w:hint="eastAsia"/>
              </w:rPr>
              <w:t>新生儿出院后1周内，医务人员到新生儿家中进行，同时进行产后访视。了解出生时情况、预防接种情况，在开展新生儿疾病筛查的地区了解新生儿疾病筛查情况等。观察家居环境，重点询问和观察喂养、睡眠、大小便、黄疸、脐部情况、口腔发育等。为新生儿测量体温、记录出生时体重、身长，进行体格检查，同时建立《0～6岁儿童保健手册》。根据新生儿的具体情况，有针对性地对家长进行母乳喂养、护理和常见疾病预防指导。如果发现新生儿未接种卡介苗和第1剂乙肝疫苗，提醒家长尽快补种。如果发现新生儿未接受新生儿疾病筛查，告知家长到具备筛查条件的医疗保健机构补筛。对于低出生体重、早产、双多胎或有出生缺陷的新生儿根据实际情况增加访视次数。</w:t>
            </w:r>
          </w:p>
          <w:p>
            <w:pPr>
              <w:numPr>
                <w:ilvl w:val="0"/>
                <w:numId w:val="1"/>
              </w:numPr>
              <w:ind w:left="0" w:leftChars="0" w:firstLine="0" w:firstLineChars="0"/>
              <w:rPr>
                <w:rFonts w:hint="eastAsia"/>
                <w:b/>
                <w:bCs/>
              </w:rPr>
            </w:pPr>
            <w:r>
              <w:rPr>
                <w:rFonts w:hint="eastAsia"/>
                <w:b/>
                <w:bCs/>
              </w:rPr>
              <w:t>新生儿满月健康管理</w:t>
            </w:r>
          </w:p>
          <w:p>
            <w:pPr>
              <w:numPr>
                <w:ilvl w:val="0"/>
                <w:numId w:val="0"/>
              </w:numPr>
              <w:ind w:leftChars="0" w:firstLine="420" w:firstLineChars="200"/>
              <w:rPr>
                <w:rFonts w:hint="eastAsia"/>
              </w:rPr>
            </w:pPr>
            <w:r>
              <w:rPr>
                <w:rFonts w:hint="eastAsia"/>
              </w:rPr>
              <w:t>新生儿满28天后，结合接种乙肝疫苗第二针，在乡镇卫生院</w:t>
            </w:r>
            <w:r>
              <w:rPr>
                <w:rFonts w:hint="eastAsia"/>
                <w:lang w:eastAsia="zh-CN"/>
              </w:rPr>
              <w:t>（</w:t>
            </w:r>
            <w:r>
              <w:rPr>
                <w:rFonts w:hint="eastAsia"/>
              </w:rPr>
              <w:t>社区卫生服务中心</w:t>
            </w:r>
            <w:r>
              <w:rPr>
                <w:rFonts w:hint="eastAsia"/>
                <w:lang w:eastAsia="zh-CN"/>
              </w:rPr>
              <w:t>）</w:t>
            </w:r>
            <w:r>
              <w:rPr>
                <w:rFonts w:hint="eastAsia"/>
              </w:rPr>
              <w:t>进行随访。重点询问和观察新生儿的喂养、睡眠、大小便、黄疸等情况，对其进行体重、身长测量、体格检查和发育评估。</w:t>
            </w:r>
          </w:p>
          <w:p>
            <w:pPr>
              <w:numPr>
                <w:ilvl w:val="0"/>
                <w:numId w:val="1"/>
              </w:numPr>
              <w:ind w:left="0" w:leftChars="0" w:firstLine="0" w:firstLineChars="0"/>
              <w:rPr>
                <w:rFonts w:hint="eastAsia"/>
                <w:b/>
                <w:bCs/>
              </w:rPr>
            </w:pPr>
            <w:r>
              <w:rPr>
                <w:rFonts w:hint="eastAsia"/>
                <w:b/>
                <w:bCs/>
              </w:rPr>
              <w:t>婴幼儿健康管理</w:t>
            </w:r>
          </w:p>
          <w:p>
            <w:pPr>
              <w:numPr>
                <w:ilvl w:val="0"/>
                <w:numId w:val="0"/>
              </w:numPr>
              <w:ind w:leftChars="0" w:firstLine="420" w:firstLineChars="200"/>
              <w:rPr>
                <w:rFonts w:hint="eastAsia"/>
              </w:rPr>
            </w:pPr>
            <w:r>
              <w:rPr>
                <w:rFonts w:hint="eastAsia"/>
              </w:rPr>
              <w:t>满月后的随访服务均应在乡镇卫生院</w:t>
            </w:r>
            <w:r>
              <w:rPr>
                <w:rFonts w:hint="eastAsia"/>
                <w:lang w:eastAsia="zh-CN"/>
              </w:rPr>
              <w:t>（</w:t>
            </w:r>
            <w:r>
              <w:rPr>
                <w:rFonts w:hint="eastAsia"/>
              </w:rPr>
              <w:t>社区卫生服务中心</w:t>
            </w:r>
            <w:r>
              <w:rPr>
                <w:rFonts w:hint="eastAsia"/>
                <w:lang w:eastAsia="zh-CN"/>
              </w:rPr>
              <w:t>）</w:t>
            </w:r>
            <w:r>
              <w:rPr>
                <w:rFonts w:hint="eastAsia"/>
              </w:rPr>
              <w:t>进行，偏远地区可在村卫生室</w:t>
            </w:r>
            <w:r>
              <w:rPr>
                <w:rFonts w:hint="eastAsia"/>
                <w:lang w:eastAsia="zh-CN"/>
              </w:rPr>
              <w:t>（</w:t>
            </w:r>
            <w:r>
              <w:rPr>
                <w:rFonts w:hint="eastAsia"/>
              </w:rPr>
              <w:t>社区卫生服务站</w:t>
            </w:r>
            <w:r>
              <w:rPr>
                <w:rFonts w:hint="eastAsia"/>
                <w:lang w:eastAsia="zh-CN"/>
              </w:rPr>
              <w:t>）</w:t>
            </w:r>
            <w:r>
              <w:rPr>
                <w:rFonts w:hint="eastAsia"/>
              </w:rPr>
              <w:t>进行，时间分别在3、6、8、12、18、24、30、36月龄时，共8次。有条件的地区，建议结合儿童预防接种时间增加随访次数。服务内容包括询问上次随访到本次随访之间的婴幼儿喂养、患病等情况，进行体格检查，做生长发育和心理行为发育评估，进行母乳喂养、辅食添加、心理行为发育、意外伤害预防、口腔保健、中医保健、常见疾病防治等健康指导。在婴幼儿6～8、18、30月龄时分别进行1次血常规检测。在6、12、24、36月龄时使用听性行为观察法分别进行1次听力筛查。在每次进行预防接种前均要检查有无禁忌症，若无，体检结束后接受疫苗接种。</w:t>
            </w:r>
          </w:p>
          <w:p>
            <w:pPr>
              <w:numPr>
                <w:ilvl w:val="0"/>
                <w:numId w:val="1"/>
              </w:numPr>
              <w:ind w:left="0" w:leftChars="0" w:firstLine="0" w:firstLineChars="0"/>
              <w:rPr>
                <w:rFonts w:hint="eastAsia"/>
                <w:b/>
                <w:bCs/>
              </w:rPr>
            </w:pPr>
            <w:r>
              <w:rPr>
                <w:rFonts w:hint="eastAsia"/>
                <w:b/>
                <w:bCs/>
              </w:rPr>
              <w:t>学龄前儿童健康管理</w:t>
            </w:r>
          </w:p>
          <w:p>
            <w:pPr>
              <w:numPr>
                <w:ilvl w:val="0"/>
                <w:numId w:val="0"/>
              </w:numPr>
              <w:ind w:leftChars="0" w:firstLine="420" w:firstLineChars="200"/>
              <w:rPr>
                <w:rFonts w:hint="eastAsia"/>
              </w:rPr>
            </w:pPr>
            <w:r>
              <w:rPr>
                <w:rFonts w:hint="eastAsia"/>
              </w:rPr>
              <w:t>为4～6岁儿童每年提供一次健康管理服务。散居儿童的健康管理服务应在乡镇卫生院</w:t>
            </w:r>
            <w:r>
              <w:rPr>
                <w:rFonts w:hint="eastAsia"/>
                <w:lang w:eastAsia="zh-CN"/>
              </w:rPr>
              <w:t>（</w:t>
            </w:r>
            <w:r>
              <w:rPr>
                <w:rFonts w:hint="eastAsia"/>
              </w:rPr>
              <w:t>社区卫生服务中心</w:t>
            </w:r>
            <w:r>
              <w:rPr>
                <w:rFonts w:hint="eastAsia"/>
                <w:lang w:eastAsia="zh-CN"/>
              </w:rPr>
              <w:t>）</w:t>
            </w:r>
            <w:r>
              <w:rPr>
                <w:rFonts w:hint="eastAsia"/>
              </w:rPr>
              <w:t>进行，集体儿童可在托幼机构进行。服务内容包括询问上次随访到本次随访之间的膳食、患病等情况，进行体格检查，生长发育和心理行为发育评估，血常规检测和视力筛查，进行合理膳食、心理行为发育、意外伤害预防、口腔保健、中医保健、常见疾病防治等健康指导。在每次进行预防接种前均要检查有无禁忌症，若无，体检结束后接受疫苗接种。</w:t>
            </w:r>
          </w:p>
          <w:p>
            <w:pPr>
              <w:numPr>
                <w:ilvl w:val="0"/>
                <w:numId w:val="1"/>
              </w:numPr>
              <w:ind w:left="0" w:leftChars="0" w:firstLine="0" w:firstLineChars="0"/>
              <w:rPr>
                <w:rFonts w:hint="eastAsia"/>
                <w:b/>
                <w:bCs/>
              </w:rPr>
            </w:pPr>
            <w:r>
              <w:rPr>
                <w:rFonts w:hint="eastAsia"/>
                <w:b/>
                <w:bCs/>
              </w:rPr>
              <w:t>健康问题处理</w:t>
            </w:r>
          </w:p>
          <w:p>
            <w:pPr>
              <w:numPr>
                <w:ilvl w:val="0"/>
                <w:numId w:val="0"/>
              </w:numPr>
              <w:ind w:leftChars="0" w:firstLine="420" w:firstLineChars="200"/>
              <w:rPr>
                <w:rFonts w:hint="eastAsia"/>
                <w:lang w:val="en-US" w:eastAsia="zh-CN"/>
              </w:rPr>
            </w:pPr>
            <w:r>
              <w:rPr>
                <w:rFonts w:hint="eastAsia"/>
              </w:rPr>
              <w:t>对健康管理中发现的有营养不良、贫血、单纯性肥胖等情况的儿童应当分析其原因，给出指导或转诊的建议。对口腔发育异常（唇腭裂、高鄂弓、诞生牙）、龋齿、视力低常或听力异常儿童应及时转诊。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8" w:hRule="atLeast"/>
        </w:trPr>
        <w:tc>
          <w:tcPr>
            <w:tcW w:w="653" w:type="dxa"/>
            <w:vMerge w:val="continue"/>
            <w:noWrap w:val="0"/>
            <w:vAlign w:val="center"/>
          </w:tcPr>
          <w:p>
            <w:pPr>
              <w:jc w:val="center"/>
              <w:rPr>
                <w:rFonts w:hint="eastAsia"/>
              </w:rPr>
            </w:pPr>
          </w:p>
        </w:tc>
        <w:tc>
          <w:tcPr>
            <w:tcW w:w="1625" w:type="dxa"/>
            <w:noWrap w:val="0"/>
            <w:vAlign w:val="center"/>
          </w:tcPr>
          <w:p>
            <w:pPr>
              <w:jc w:val="center"/>
              <w:rPr>
                <w:rFonts w:hint="eastAsia"/>
              </w:rPr>
            </w:pPr>
            <w:r>
              <w:rPr>
                <w:rFonts w:hint="eastAsia"/>
              </w:rPr>
              <w:t>服务流程</w:t>
            </w:r>
          </w:p>
        </w:tc>
        <w:tc>
          <w:tcPr>
            <w:tcW w:w="7035" w:type="dxa"/>
            <w:noWrap w:val="0"/>
            <w:vAlign w:val="top"/>
          </w:tcPr>
          <w:p>
            <w:pPr>
              <w:rPr>
                <w:rFonts w:hint="eastAsia" w:eastAsia="宋体"/>
                <w:lang w:val="en-US" w:eastAsia="zh-CN"/>
              </w:rPr>
            </w:pPr>
            <w:r>
              <w:rPr>
                <w:rFonts w:hint="eastAsia"/>
                <w:lang w:val="en-US" w:eastAsia="zh-CN"/>
              </w:rPr>
              <w:t xml:space="preserve"> </w:t>
            </w:r>
          </w:p>
          <w:p>
            <w:pPr>
              <w:rPr>
                <w:rFonts w:hint="eastAsia" w:eastAsia="宋体"/>
                <w:lang w:eastAsia="zh-CN"/>
              </w:rPr>
            </w:pPr>
            <w:r>
              <w:rPr>
                <w:rFonts w:hint="eastAsia" w:eastAsia="宋体"/>
                <w:lang w:eastAsia="zh-CN"/>
              </w:rPr>
              <w:drawing>
                <wp:inline distT="0" distB="0" distL="114300" distR="114300">
                  <wp:extent cx="3728085" cy="3728085"/>
                  <wp:effectExtent l="0" t="0" r="5715" b="5715"/>
                  <wp:docPr id="1" name="图片 1" descr="06a90b07424ecbe211c1f31078637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a90b07424ecbe211c1f310786371f"/>
                          <pic:cNvPicPr>
                            <a:picLocks noChangeAspect="1"/>
                          </pic:cNvPicPr>
                        </pic:nvPicPr>
                        <pic:blipFill>
                          <a:blip r:embed="rId4"/>
                          <a:srcRect l="-255" t="8339" r="255" b="20980"/>
                          <a:stretch>
                            <a:fillRect/>
                          </a:stretch>
                        </pic:blipFill>
                        <pic:spPr>
                          <a:xfrm>
                            <a:off x="0" y="0"/>
                            <a:ext cx="3728367" cy="3728367"/>
                          </a:xfrm>
                          <a:prstGeom prst="rect">
                            <a:avLst/>
                          </a:prstGeom>
                        </pic:spPr>
                      </pic:pic>
                    </a:graphicData>
                  </a:graphic>
                </wp:inline>
              </w:drawing>
            </w:r>
          </w:p>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trPr>
        <w:tc>
          <w:tcPr>
            <w:tcW w:w="653" w:type="dxa"/>
            <w:vMerge w:val="continue"/>
            <w:noWrap w:val="0"/>
            <w:vAlign w:val="center"/>
          </w:tcPr>
          <w:p>
            <w:pPr>
              <w:jc w:val="center"/>
              <w:rPr>
                <w:rFonts w:hint="eastAsia"/>
              </w:rPr>
            </w:pPr>
          </w:p>
        </w:tc>
        <w:tc>
          <w:tcPr>
            <w:tcW w:w="1625" w:type="dxa"/>
            <w:noWrap w:val="0"/>
            <w:vAlign w:val="center"/>
          </w:tcPr>
          <w:p>
            <w:pPr>
              <w:jc w:val="center"/>
              <w:rPr>
                <w:rFonts w:hint="eastAsia"/>
              </w:rPr>
            </w:pPr>
            <w:r>
              <w:rPr>
                <w:rFonts w:hint="eastAsia"/>
              </w:rPr>
              <w:t>服务要求</w:t>
            </w:r>
          </w:p>
        </w:tc>
        <w:tc>
          <w:tcPr>
            <w:tcW w:w="7035" w:type="dxa"/>
            <w:noWrap w:val="0"/>
            <w:vAlign w:val="top"/>
          </w:tcPr>
          <w:p>
            <w:pPr>
              <w:numPr>
                <w:ilvl w:val="0"/>
                <w:numId w:val="0"/>
              </w:numPr>
              <w:rPr>
                <w:rFonts w:hint="eastAsia"/>
              </w:rPr>
            </w:pPr>
          </w:p>
          <w:p>
            <w:pPr>
              <w:numPr>
                <w:ilvl w:val="0"/>
                <w:numId w:val="0"/>
              </w:numPr>
              <w:rPr>
                <w:rFonts w:hint="eastAsia"/>
              </w:rPr>
            </w:pPr>
          </w:p>
          <w:p>
            <w:pPr>
              <w:numPr>
                <w:ilvl w:val="0"/>
                <w:numId w:val="2"/>
              </w:numPr>
              <w:rPr>
                <w:rFonts w:hint="eastAsia"/>
              </w:rPr>
            </w:pPr>
            <w:r>
              <w:rPr>
                <w:rFonts w:hint="eastAsia"/>
              </w:rPr>
              <w:t>开展儿童健康管理的乡镇卫生院、村卫生室和社区卫生服务中心（站）应当具备所需的基本设备和条件。</w:t>
            </w:r>
          </w:p>
          <w:p>
            <w:pPr>
              <w:numPr>
                <w:ilvl w:val="0"/>
                <w:numId w:val="2"/>
              </w:numPr>
              <w:ind w:left="0" w:leftChars="0" w:firstLine="0" w:firstLineChars="0"/>
              <w:rPr>
                <w:rFonts w:hint="eastAsia"/>
              </w:rPr>
            </w:pPr>
            <w:r>
              <w:rPr>
                <w:rFonts w:hint="eastAsia"/>
              </w:rPr>
              <w:t>从事儿童健康管理工作的人员（含乡村医生）应取得相应的执业资格，并接受过儿童保健专业技术培训，按照国家儿童保健有关规范的要求进行儿童健康管理。</w:t>
            </w:r>
          </w:p>
          <w:p>
            <w:pPr>
              <w:numPr>
                <w:ilvl w:val="0"/>
                <w:numId w:val="2"/>
              </w:numPr>
              <w:ind w:left="0" w:leftChars="0" w:firstLine="0" w:firstLineChars="0"/>
              <w:rPr>
                <w:rFonts w:hint="eastAsia"/>
              </w:rPr>
            </w:pPr>
            <w:r>
              <w:rPr>
                <w:rFonts w:hint="eastAsia"/>
              </w:rPr>
              <w:t>乡镇卫生院、村卫生室和社区卫生服务中心（站）应通过妇幼卫生网络、预防接种系统以及日常医疗卫生服务等多种途径掌握辖区中的适龄儿童数，并加强与托幼机构的联系，取得配合，做好儿童的健康管理。</w:t>
            </w:r>
          </w:p>
          <w:p>
            <w:pPr>
              <w:numPr>
                <w:ilvl w:val="0"/>
                <w:numId w:val="2"/>
              </w:numPr>
              <w:ind w:left="0" w:leftChars="0" w:firstLine="0" w:firstLineChars="0"/>
              <w:rPr>
                <w:rFonts w:hint="eastAsia"/>
              </w:rPr>
            </w:pPr>
            <w:r>
              <w:rPr>
                <w:rFonts w:hint="eastAsia"/>
              </w:rPr>
              <w:t>加强宣传，向儿童监护人告知服务内容，使更多的儿童家长愿意接受服务。</w:t>
            </w:r>
          </w:p>
          <w:p>
            <w:pPr>
              <w:numPr>
                <w:ilvl w:val="0"/>
                <w:numId w:val="2"/>
              </w:numPr>
              <w:ind w:left="0" w:leftChars="0" w:firstLine="0" w:firstLineChars="0"/>
              <w:rPr>
                <w:rFonts w:hint="eastAsia"/>
              </w:rPr>
            </w:pPr>
            <w:r>
              <w:rPr>
                <w:rFonts w:hint="eastAsia"/>
              </w:rPr>
              <w:t>儿童健康管理服务在时间上应与预防接种时间相结合。鼓励在儿童每次接受免疫规划范围内的预防接种时，对其进行体重、身长（高）测量，并提供健康指导服务。</w:t>
            </w:r>
          </w:p>
          <w:p>
            <w:pPr>
              <w:numPr>
                <w:ilvl w:val="0"/>
                <w:numId w:val="2"/>
              </w:numPr>
              <w:ind w:left="0" w:leftChars="0" w:firstLine="0" w:firstLineChars="0"/>
              <w:rPr>
                <w:rFonts w:hint="eastAsia"/>
              </w:rPr>
            </w:pPr>
            <w:r>
              <w:rPr>
                <w:rFonts w:hint="eastAsia"/>
              </w:rPr>
              <w:t>每次服务后及时记录相关信息，纳入儿童健康档案。</w:t>
            </w:r>
          </w:p>
          <w:p>
            <w:pPr>
              <w:numPr>
                <w:ilvl w:val="0"/>
                <w:numId w:val="0"/>
              </w:numPr>
              <w:ind w:leftChars="0"/>
              <w:rPr>
                <w:rFonts w:hint="eastAsia"/>
              </w:rPr>
            </w:pPr>
            <w:r>
              <w:rPr>
                <w:rFonts w:hint="eastAsia"/>
              </w:rPr>
              <w:t>（七）积极应用中医药方法，为儿童提供生长发育与疾病预防等健康指导。</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653" w:type="dxa"/>
            <w:vMerge w:val="continue"/>
            <w:noWrap w:val="0"/>
            <w:vAlign w:val="center"/>
          </w:tcPr>
          <w:p>
            <w:pPr>
              <w:jc w:val="center"/>
              <w:rPr>
                <w:rFonts w:hint="eastAsia"/>
              </w:rPr>
            </w:pPr>
          </w:p>
        </w:tc>
        <w:tc>
          <w:tcPr>
            <w:tcW w:w="1625" w:type="dxa"/>
            <w:noWrap w:val="0"/>
            <w:vAlign w:val="center"/>
          </w:tcPr>
          <w:p>
            <w:pPr>
              <w:rPr>
                <w:rFonts w:hint="eastAsia"/>
              </w:rPr>
            </w:pPr>
            <w:r>
              <w:rPr>
                <w:rFonts w:hint="eastAsia"/>
              </w:rPr>
              <w:t>投诉举报电话以及网上投诉渠道</w:t>
            </w:r>
          </w:p>
        </w:tc>
        <w:tc>
          <w:tcPr>
            <w:tcW w:w="7035" w:type="dxa"/>
            <w:noWrap w:val="0"/>
            <w:vAlign w:val="center"/>
          </w:tcPr>
          <w:p>
            <w:pPr>
              <w:jc w:val="center"/>
              <w:rPr>
                <w:rFonts w:hint="default" w:eastAsia="宋体"/>
                <w:lang w:val="en-US" w:eastAsia="zh-CN"/>
              </w:rPr>
            </w:pPr>
            <w:r>
              <w:rPr>
                <w:rFonts w:hint="eastAsia"/>
              </w:rPr>
              <w:t>0355-</w:t>
            </w:r>
            <w:r>
              <w:rPr>
                <w:rFonts w:hint="eastAsia"/>
                <w:lang w:val="en-US" w:eastAsia="zh-CN"/>
              </w:rPr>
              <w:t>6564174</w:t>
            </w:r>
          </w:p>
        </w:tc>
      </w:tr>
    </w:tbl>
    <w:p>
      <w:pPr>
        <w:jc w:val="center"/>
        <w:rPr>
          <w:rFonts w:hint="eastAsia"/>
          <w:sz w:val="24"/>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92397"/>
    <w:multiLevelType w:val="singleLevel"/>
    <w:tmpl w:val="B9492397"/>
    <w:lvl w:ilvl="0" w:tentative="0">
      <w:start w:val="1"/>
      <w:numFmt w:val="chineseCounting"/>
      <w:suff w:val="nothing"/>
      <w:lvlText w:val="（%1）"/>
      <w:lvlJc w:val="left"/>
      <w:rPr>
        <w:rFonts w:hint="eastAsia"/>
      </w:rPr>
    </w:lvl>
  </w:abstractNum>
  <w:abstractNum w:abstractNumId="1">
    <w:nsid w:val="6502A0E6"/>
    <w:multiLevelType w:val="singleLevel"/>
    <w:tmpl w:val="6502A0E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MjQ4YjI5NzdhYTdlNzA1NjJmNTBlMzlkYjg5YTcifQ=="/>
  </w:docVars>
  <w:rsids>
    <w:rsidRoot w:val="00000000"/>
    <w:rsid w:val="03BC0BDE"/>
    <w:rsid w:val="0FB65576"/>
    <w:rsid w:val="29E0696A"/>
    <w:rsid w:val="41DC1989"/>
    <w:rsid w:val="59F262C3"/>
    <w:rsid w:val="62FA24F4"/>
    <w:rsid w:val="7B8C3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2024-01-15T01:44:00Z</dcterms:created>
  <dc:creator>Administrator</dc:creator>
  <cp:lastModifiedBy>Tingting</cp:lastModifiedBy>
  <cp:lastPrinted>2024-01-15T01:53:00Z</cp:lastPrinted>
  <dcterms:modified xsi:type="dcterms:W3CDTF">2024-01-16T01:22:43Z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A16D766D121A44D2A466DA3EFD77D03B_13</vt:lpwstr>
  </property>
</Properties>
</file>