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852" w:tblpY="1893"/>
        <w:tblOverlap w:val="never"/>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608"/>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53" w:type="dxa"/>
            <w:vMerge w:val="restart"/>
            <w:noWrap w:val="0"/>
            <w:vAlign w:val="center"/>
          </w:tcPr>
          <w:p>
            <w:pPr>
              <w:jc w:val="center"/>
              <w:rPr>
                <w:rFonts w:hint="default" w:eastAsia="宋体"/>
                <w:lang w:val="en-US" w:eastAsia="zh-CN"/>
              </w:rPr>
            </w:pPr>
            <w:r>
              <w:rPr>
                <w:rFonts w:hint="eastAsia"/>
                <w:lang w:val="en-US" w:eastAsia="zh-CN"/>
              </w:rPr>
              <w:t>孕产妇健康管理</w:t>
            </w:r>
          </w:p>
        </w:tc>
        <w:tc>
          <w:tcPr>
            <w:tcW w:w="1625" w:type="dxa"/>
            <w:noWrap w:val="0"/>
            <w:vAlign w:val="center"/>
          </w:tcPr>
          <w:p>
            <w:pPr>
              <w:jc w:val="center"/>
              <w:rPr>
                <w:rFonts w:hint="eastAsia"/>
              </w:rPr>
            </w:pPr>
            <w:r>
              <w:rPr>
                <w:rFonts w:hint="eastAsia"/>
              </w:rPr>
              <w:t>服务对象</w:t>
            </w:r>
          </w:p>
        </w:tc>
        <w:tc>
          <w:tcPr>
            <w:tcW w:w="7035" w:type="dxa"/>
            <w:noWrap w:val="0"/>
            <w:vAlign w:val="center"/>
          </w:tcPr>
          <w:p>
            <w:pPr>
              <w:jc w:val="center"/>
              <w:rPr>
                <w:rFonts w:hint="default" w:eastAsia="宋体"/>
                <w:lang w:val="en-US" w:eastAsia="zh-CN"/>
              </w:rPr>
            </w:pPr>
            <w:r>
              <w:rPr>
                <w:rFonts w:hint="eastAsia"/>
                <w:lang w:val="en-US" w:eastAsia="zh-CN"/>
              </w:rPr>
              <w:t>辖区内常住孕产妇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53" w:type="dxa"/>
            <w:vMerge w:val="continue"/>
            <w:noWrap w:val="0"/>
            <w:vAlign w:val="center"/>
          </w:tcPr>
          <w:p>
            <w:pPr>
              <w:jc w:val="center"/>
              <w:rPr>
                <w:rFonts w:hint="eastAsia"/>
              </w:rPr>
            </w:pPr>
          </w:p>
        </w:tc>
        <w:tc>
          <w:tcPr>
            <w:tcW w:w="1625" w:type="dxa"/>
            <w:noWrap w:val="0"/>
            <w:vAlign w:val="center"/>
          </w:tcPr>
          <w:p>
            <w:r>
              <w:rPr>
                <w:rFonts w:hint="eastAsia"/>
              </w:rPr>
              <w:t>服务机构信息、包括名称、地点、服务时间</w:t>
            </w:r>
          </w:p>
        </w:tc>
        <w:tc>
          <w:tcPr>
            <w:tcW w:w="7035" w:type="dxa"/>
            <w:noWrap w:val="0"/>
            <w:vAlign w:val="center"/>
          </w:tcPr>
          <w:p>
            <w:pPr>
              <w:jc w:val="center"/>
              <w:rPr>
                <w:rFonts w:hint="eastAsia"/>
                <w:lang w:val="en-US" w:eastAsia="zh-CN"/>
              </w:rPr>
            </w:pPr>
            <w:r>
              <w:rPr>
                <w:rFonts w:hint="eastAsia"/>
                <w:lang w:val="en-US" w:eastAsia="zh-CN"/>
              </w:rPr>
              <w:t>妇幼保健计划生育服务中心</w:t>
            </w:r>
          </w:p>
          <w:p>
            <w:pPr>
              <w:jc w:val="center"/>
              <w:rPr>
                <w:rFonts w:hint="eastAsia"/>
                <w:lang w:val="en-US" w:eastAsia="zh-CN"/>
              </w:rPr>
            </w:pPr>
            <w:r>
              <w:rPr>
                <w:rFonts w:hint="eastAsia"/>
                <w:lang w:val="en-US" w:eastAsia="zh-CN"/>
              </w:rPr>
              <w:t>县城北部国家粮库东侧</w:t>
            </w:r>
          </w:p>
          <w:p>
            <w:pPr>
              <w:jc w:val="center"/>
              <w:rPr>
                <w:rFonts w:hint="default"/>
                <w:lang w:val="en-US" w:eastAsia="zh-CN"/>
              </w:rPr>
            </w:pPr>
            <w:r>
              <w:rPr>
                <w:rFonts w:hint="eastAsia"/>
                <w:lang w:val="en-US" w:eastAsia="zh-CN"/>
              </w:rPr>
              <w:t>除国家规定节假日外的日期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3" w:type="dxa"/>
            <w:vMerge w:val="continue"/>
            <w:noWrap w:val="0"/>
            <w:vAlign w:val="center"/>
          </w:tcPr>
          <w:p>
            <w:pPr>
              <w:jc w:val="center"/>
              <w:rPr>
                <w:rFonts w:hint="eastAsia"/>
              </w:rPr>
            </w:pPr>
          </w:p>
        </w:tc>
        <w:tc>
          <w:tcPr>
            <w:tcW w:w="1625" w:type="dxa"/>
            <w:noWrap w:val="0"/>
            <w:vAlign w:val="center"/>
          </w:tcPr>
          <w:p>
            <w:pPr>
              <w:jc w:val="center"/>
              <w:rPr>
                <w:rFonts w:hint="eastAsia"/>
              </w:rPr>
            </w:pPr>
            <w:r>
              <w:rPr>
                <w:rFonts w:hint="eastAsia"/>
              </w:rPr>
              <w:t>服务项目</w:t>
            </w:r>
          </w:p>
          <w:p>
            <w:pPr>
              <w:jc w:val="center"/>
              <w:rPr>
                <w:rFonts w:hint="eastAsia"/>
              </w:rPr>
            </w:pPr>
            <w:r>
              <w:rPr>
                <w:rFonts w:hint="eastAsia"/>
              </w:rPr>
              <w:t>和内容</w:t>
            </w:r>
          </w:p>
        </w:tc>
        <w:tc>
          <w:tcPr>
            <w:tcW w:w="7035" w:type="dxa"/>
            <w:noWrap w:val="0"/>
            <w:vAlign w:val="top"/>
          </w:tcPr>
          <w:p>
            <w:pPr>
              <w:rPr>
                <w:rFonts w:hint="eastAsia"/>
              </w:rPr>
            </w:pPr>
          </w:p>
          <w:p>
            <w:pPr>
              <w:numPr>
                <w:ilvl w:val="0"/>
                <w:numId w:val="1"/>
              </w:numPr>
              <w:rPr>
                <w:rFonts w:hint="eastAsia"/>
                <w:lang w:val="en-US" w:eastAsia="zh-CN"/>
              </w:rPr>
            </w:pPr>
            <w:r>
              <w:rPr>
                <w:rFonts w:hint="eastAsia"/>
                <w:lang w:val="en-US" w:eastAsia="zh-CN"/>
              </w:rPr>
              <w:t>1、为辖区内常住孕产妇怀孕13周前建立孕期档案并进行第一次产前检查服务，填写第1次产前检查服务记录表和《母子保健手册》，进行孕早期健康教育和指导，同时进行第一次产前检查服务，填写第一次产前检查服务记录表和录入“健苗网”。</w:t>
            </w:r>
          </w:p>
          <w:p>
            <w:pPr>
              <w:numPr>
                <w:ilvl w:val="0"/>
                <w:numId w:val="0"/>
              </w:numPr>
              <w:rPr>
                <w:rFonts w:hint="default"/>
                <w:lang w:val="en-US" w:eastAsia="zh-CN"/>
              </w:rPr>
            </w:pPr>
            <w:r>
              <w:rPr>
                <w:rFonts w:hint="eastAsia"/>
                <w:lang w:val="en-US" w:eastAsia="zh-CN"/>
              </w:rPr>
              <w:t>2、第一次产前检查服务根据询问的基本情况、月经史、孕产史、既往史、家族史、个人史、妇产科手术史，一般检查、妇科检查、辅助检查等对每一位孕产妇进行总体筛查和评估；筛查的高危孕产妇按照“五色管理”管理；对评估为“橙”“红”“紫”色的孕妇转诊上一级医院，并在2周内随访转诊结果，并安排专人进行专案管理。</w:t>
            </w:r>
          </w:p>
          <w:p>
            <w:pPr>
              <w:numPr>
                <w:ilvl w:val="0"/>
                <w:numId w:val="0"/>
              </w:numPr>
              <w:rPr>
                <w:rFonts w:hint="default"/>
                <w:lang w:val="en-US" w:eastAsia="zh-CN"/>
              </w:rPr>
            </w:pPr>
            <w:r>
              <w:rPr>
                <w:rFonts w:hint="eastAsia"/>
                <w:lang w:val="en-US" w:eastAsia="zh-CN"/>
              </w:rPr>
              <w:t>3、保健指导包括生活方式指导、营养指导、心里保健指导、避免致畸因素和疾病对胚胎的影响，告知、督促孕妇进行预防出生缺陷的产前筛查和产前诊断。</w:t>
            </w:r>
          </w:p>
          <w:p>
            <w:pPr>
              <w:numPr>
                <w:ilvl w:val="0"/>
                <w:numId w:val="1"/>
              </w:numPr>
              <w:rPr>
                <w:rFonts w:hint="default"/>
                <w:lang w:val="en-US" w:eastAsia="zh-CN"/>
              </w:rPr>
            </w:pPr>
            <w:r>
              <w:rPr>
                <w:rFonts w:hint="eastAsia"/>
                <w:lang w:val="en-US" w:eastAsia="zh-CN"/>
              </w:rPr>
              <w:t>进行孕中期孕16-20周、21-24周各一次产前随访服务，健康教育和指导，告知、督促孕妇进行预防出生缺陷的产前筛查和产前诊断。筛查的高危孕产妇按照“五色管理”管理；对评估为“橙”“红”“紫”色的孕妇转诊上一级医院，并在2周内随访转诊结果，并安排专人进行专案管理。对出现危急征象的孕妇，立即转上级医疗卫生机构，并在2周内随访转诊结果。</w:t>
            </w:r>
          </w:p>
          <w:p>
            <w:pPr>
              <w:numPr>
                <w:ilvl w:val="0"/>
                <w:numId w:val="1"/>
              </w:numPr>
              <w:rPr>
                <w:rFonts w:hint="default"/>
                <w:lang w:val="en-US" w:eastAsia="zh-CN"/>
              </w:rPr>
            </w:pPr>
            <w:r>
              <w:rPr>
                <w:rFonts w:hint="eastAsia"/>
                <w:lang w:val="en-US" w:eastAsia="zh-CN"/>
              </w:rPr>
              <w:t>进行孕晚期孕28-36周、37-40周各进行一次产前随访服务，健康教育和指导，随访中若发现有高危情况，及时转诊。</w:t>
            </w:r>
          </w:p>
          <w:p>
            <w:pPr>
              <w:numPr>
                <w:ilvl w:val="0"/>
                <w:numId w:val="1"/>
              </w:numPr>
              <w:rPr>
                <w:rFonts w:hint="default"/>
                <w:lang w:val="en-US" w:eastAsia="zh-CN"/>
              </w:rPr>
            </w:pPr>
            <w:r>
              <w:rPr>
                <w:rFonts w:hint="eastAsia"/>
                <w:lang w:val="en-US" w:eastAsia="zh-CN"/>
              </w:rPr>
              <w:t>第2-5次产前随访服务应该在有助产技术服务资质的医疗卫生机构进行相应的检查，并填写相关结果，及时录入“健苗网”；没有条件的基层医疗卫生机构督促孕产妇前往有资质的机构进行相关随访，注明督促日期，无需填写相关记录。</w:t>
            </w:r>
          </w:p>
          <w:p>
            <w:pPr>
              <w:numPr>
                <w:ilvl w:val="0"/>
                <w:numId w:val="1"/>
              </w:numPr>
              <w:rPr>
                <w:rFonts w:hint="default"/>
                <w:lang w:val="en-US" w:eastAsia="zh-CN"/>
              </w:rPr>
            </w:pPr>
            <w:r>
              <w:rPr>
                <w:rFonts w:hint="eastAsia"/>
                <w:lang w:val="en-US" w:eastAsia="zh-CN"/>
              </w:rPr>
              <w:t>若失访，在随访日期处写明失访原因；若死亡，写明死亡日期和死亡原因。</w:t>
            </w:r>
          </w:p>
          <w:p>
            <w:pPr>
              <w:numPr>
                <w:ilvl w:val="0"/>
                <w:numId w:val="1"/>
              </w:numPr>
              <w:rPr>
                <w:rFonts w:hint="eastAsia"/>
              </w:rPr>
            </w:pPr>
            <w:r>
              <w:rPr>
                <w:rFonts w:hint="eastAsia"/>
                <w:lang w:val="en-US" w:eastAsia="zh-CN"/>
              </w:rPr>
              <w:t>镇卫生院在收到分娩医院转来的分娩信息后，应于产妇出院后1周内到产妇家中进行产后访视，填写产后访视表。告知孕妇产后42天到分娩医院或妇幼保健院进行健康检查。</w:t>
            </w:r>
          </w:p>
          <w:p>
            <w:pPr>
              <w:widowControl w:val="0"/>
              <w:numPr>
                <w:ilvl w:val="0"/>
                <w:numId w:val="0"/>
              </w:numPr>
              <w:jc w:val="both"/>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653" w:type="dxa"/>
            <w:vMerge w:val="continue"/>
            <w:noWrap w:val="0"/>
            <w:vAlign w:val="center"/>
          </w:tcPr>
          <w:p>
            <w:pPr>
              <w:jc w:val="center"/>
              <w:rPr>
                <w:rFonts w:hint="eastAsia"/>
              </w:rPr>
            </w:pPr>
          </w:p>
        </w:tc>
        <w:tc>
          <w:tcPr>
            <w:tcW w:w="1625" w:type="dxa"/>
            <w:noWrap w:val="0"/>
            <w:vAlign w:val="center"/>
          </w:tcPr>
          <w:p>
            <w:pPr>
              <w:jc w:val="center"/>
              <w:rPr>
                <w:rFonts w:hint="eastAsia"/>
              </w:rPr>
            </w:pPr>
            <w:r>
              <w:rPr>
                <w:rFonts w:hint="eastAsia"/>
              </w:rPr>
              <w:t>服务流程</w:t>
            </w:r>
          </w:p>
        </w:tc>
        <w:tc>
          <w:tcPr>
            <w:tcW w:w="7035" w:type="dxa"/>
            <w:noWrap w:val="0"/>
            <w:vAlign w:val="top"/>
          </w:tcPr>
          <w:p>
            <w:pPr>
              <w:rPr>
                <w:rFonts w:hint="eastAsia"/>
              </w:rPr>
            </w:pPr>
            <w:bookmarkStart w:id="0" w:name="_GoBack"/>
            <w:bookmarkEnd w:id="0"/>
          </w:p>
          <w:p>
            <w:pPr>
              <w:rPr>
                <w:rFonts w:hint="eastAsia"/>
              </w:rPr>
            </w:pPr>
            <w:r>
              <w:rPr>
                <w:rFonts w:hint="eastAsia" w:eastAsia="宋体"/>
                <w:lang w:eastAsia="zh-CN"/>
              </w:rPr>
              <w:drawing>
                <wp:inline distT="0" distB="0" distL="114300" distR="114300">
                  <wp:extent cx="4325620" cy="3999865"/>
                  <wp:effectExtent l="0" t="0" r="17780" b="635"/>
                  <wp:docPr id="1" name="图片 1" descr="a67c5f52eda0bc4b975d58ed2ca3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7c5f52eda0bc4b975d58ed2ca3fbb"/>
                          <pic:cNvPicPr>
                            <a:picLocks noChangeAspect="1"/>
                          </pic:cNvPicPr>
                        </pic:nvPicPr>
                        <pic:blipFill>
                          <a:blip r:embed="rId4"/>
                          <a:stretch>
                            <a:fillRect/>
                          </a:stretch>
                        </pic:blipFill>
                        <pic:spPr>
                          <a:xfrm>
                            <a:off x="0" y="0"/>
                            <a:ext cx="4325620" cy="3999865"/>
                          </a:xfrm>
                          <a:prstGeom prst="rect">
                            <a:avLst/>
                          </a:prstGeom>
                        </pic:spPr>
                      </pic:pic>
                    </a:graphicData>
                  </a:graphic>
                </wp:inline>
              </w:drawing>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653" w:type="dxa"/>
            <w:vMerge w:val="continue"/>
            <w:noWrap w:val="0"/>
            <w:vAlign w:val="center"/>
          </w:tcPr>
          <w:p>
            <w:pPr>
              <w:jc w:val="center"/>
              <w:rPr>
                <w:rFonts w:hint="eastAsia"/>
              </w:rPr>
            </w:pPr>
          </w:p>
        </w:tc>
        <w:tc>
          <w:tcPr>
            <w:tcW w:w="1625" w:type="dxa"/>
            <w:noWrap w:val="0"/>
            <w:vAlign w:val="center"/>
          </w:tcPr>
          <w:p>
            <w:pPr>
              <w:jc w:val="center"/>
              <w:rPr>
                <w:rFonts w:hint="eastAsia"/>
              </w:rPr>
            </w:pPr>
            <w:r>
              <w:rPr>
                <w:rFonts w:hint="eastAsia"/>
              </w:rPr>
              <w:t>服务要求</w:t>
            </w:r>
          </w:p>
        </w:tc>
        <w:tc>
          <w:tcPr>
            <w:tcW w:w="7035"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53" w:type="dxa"/>
            <w:vMerge w:val="continue"/>
            <w:noWrap w:val="0"/>
            <w:vAlign w:val="center"/>
          </w:tcPr>
          <w:p>
            <w:pPr>
              <w:jc w:val="center"/>
              <w:rPr>
                <w:rFonts w:hint="eastAsia"/>
              </w:rPr>
            </w:pPr>
          </w:p>
        </w:tc>
        <w:tc>
          <w:tcPr>
            <w:tcW w:w="1625" w:type="dxa"/>
            <w:noWrap w:val="0"/>
            <w:vAlign w:val="center"/>
          </w:tcPr>
          <w:p>
            <w:pPr>
              <w:rPr>
                <w:rFonts w:hint="eastAsia"/>
              </w:rPr>
            </w:pPr>
            <w:r>
              <w:rPr>
                <w:rFonts w:hint="eastAsia"/>
              </w:rPr>
              <w:t>投诉举报电话以及网上投诉渠道</w:t>
            </w:r>
          </w:p>
        </w:tc>
        <w:tc>
          <w:tcPr>
            <w:tcW w:w="7035" w:type="dxa"/>
            <w:noWrap w:val="0"/>
            <w:vAlign w:val="center"/>
          </w:tcPr>
          <w:p>
            <w:pPr>
              <w:jc w:val="center"/>
              <w:rPr>
                <w:rFonts w:hint="default" w:eastAsia="宋体"/>
                <w:lang w:val="en-US" w:eastAsia="zh-CN"/>
              </w:rPr>
            </w:pPr>
            <w:r>
              <w:rPr>
                <w:rFonts w:hint="eastAsia"/>
              </w:rPr>
              <w:t>0355-</w:t>
            </w:r>
            <w:r>
              <w:rPr>
                <w:rFonts w:hint="eastAsia"/>
                <w:lang w:val="en-US" w:eastAsia="zh-CN"/>
              </w:rPr>
              <w:t>6564174</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DFFBE"/>
    <w:multiLevelType w:val="singleLevel"/>
    <w:tmpl w:val="291DFF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jQ4YjI5NzdhYTdlNzA1NjJmNTBlMzlkYjg5YTcifQ=="/>
  </w:docVars>
  <w:rsids>
    <w:rsidRoot w:val="00000000"/>
    <w:rsid w:val="066D1D90"/>
    <w:rsid w:val="13E23345"/>
    <w:rsid w:val="32847649"/>
    <w:rsid w:val="42312C1E"/>
    <w:rsid w:val="44AF52CD"/>
    <w:rsid w:val="4E420DD2"/>
    <w:rsid w:val="4FCB0689"/>
    <w:rsid w:val="563A60ED"/>
    <w:rsid w:val="6C75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2024-01-15T01:45:00Z</dcterms:created>
  <dc:creator>Administrator</dc:creator>
  <cp:lastModifiedBy>Tingting</cp:lastModifiedBy>
  <dcterms:modified xsi:type="dcterms:W3CDTF">2024-01-16T01:56:11Z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81D9ACAD57D644758784CC0C5E67E5BF_13</vt:lpwstr>
  </property>
</Properties>
</file>