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826F6C">
      <w:pPr>
        <w:keepNext w:val="0"/>
        <w:keepLines w:val="0"/>
        <w:pageBreakBefore w:val="0"/>
        <w:widowControl w:val="0"/>
        <w:tabs>
          <w:tab w:val="left" w:pos="1704"/>
        </w:tabs>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b/>
          <w:sz w:val="32"/>
          <w:szCs w:val="32"/>
          <w:lang w:eastAsia="zh-CN"/>
        </w:rPr>
      </w:pPr>
    </w:p>
    <w:p w14:paraId="6B6B985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黎城县卫生健康局</w:t>
      </w:r>
    </w:p>
    <w:p w14:paraId="4D07093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关于202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年度法治政府建设情况的报告</w:t>
      </w:r>
    </w:p>
    <w:p w14:paraId="258186F9">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bookmarkStart w:id="0" w:name="_GoBack"/>
      <w:bookmarkEnd w:id="0"/>
    </w:p>
    <w:p w14:paraId="6E84850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2025年，</w:t>
      </w:r>
      <w:r>
        <w:rPr>
          <w:rFonts w:hint="eastAsia" w:ascii="仿宋_GB2312" w:hAnsi="仿宋_GB2312" w:eastAsia="仿宋_GB2312" w:cs="仿宋_GB2312"/>
          <w:sz w:val="32"/>
          <w:szCs w:val="32"/>
          <w:lang w:eastAsia="zh-CN"/>
        </w:rPr>
        <w:t>黎城</w:t>
      </w:r>
      <w:r>
        <w:rPr>
          <w:rFonts w:hint="eastAsia" w:ascii="仿宋_GB2312" w:hAnsi="仿宋_GB2312" w:eastAsia="仿宋_GB2312" w:cs="仿宋_GB2312"/>
          <w:sz w:val="32"/>
          <w:szCs w:val="32"/>
        </w:rPr>
        <w:t>县卫健局以习近平法治思想为指导，紧扣法治政府建设目标要求，立足卫健行业实际，将法治建设与业务工作深度融合，全面提升依法行政和依法监管水平，为全县卫生健康事业高质量发展提供了坚实法治保障。现将全年工作情况报告如下：</w:t>
      </w:r>
    </w:p>
    <w:p w14:paraId="1C4DC4A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一、2025年推进法治政府建设的主要举措和成效</w:t>
      </w:r>
    </w:p>
    <w:p w14:paraId="6A4E74F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 w:hAnsi="楷体" w:eastAsia="楷体" w:cs="楷体"/>
          <w:sz w:val="32"/>
          <w:szCs w:val="32"/>
          <w:lang w:eastAsia="zh-CN"/>
        </w:rPr>
        <w:t>（一）</w:t>
      </w:r>
      <w:r>
        <w:rPr>
          <w:rFonts w:hint="eastAsia" w:ascii="楷体" w:hAnsi="楷体" w:eastAsia="楷体" w:cs="楷体"/>
          <w:sz w:val="32"/>
          <w:szCs w:val="32"/>
        </w:rPr>
        <w:t>强化法治学习教育，筑牢依法行政思想根基</w:t>
      </w:r>
      <w:r>
        <w:rPr>
          <w:rFonts w:hint="eastAsia" w:ascii="楷体" w:hAnsi="楷体" w:eastAsia="楷体" w:cs="楷体"/>
          <w:sz w:val="32"/>
          <w:szCs w:val="32"/>
          <w:lang w:eastAsia="zh-CN"/>
        </w:rPr>
        <w:t>。</w:t>
      </w:r>
      <w:r>
        <w:rPr>
          <w:rFonts w:hint="eastAsia" w:ascii="仿宋_GB2312" w:hAnsi="仿宋_GB2312" w:eastAsia="仿宋_GB2312" w:cs="仿宋_GB2312"/>
          <w:sz w:val="32"/>
          <w:szCs w:val="32"/>
        </w:rPr>
        <w:t>一是落实学法制度。将习近平法治思想、《基本医疗卫生与健康促进法》《医师法》等法律法规纳入党组理论学习中心组学习计划，常态化开展专题学习；组织干部职工开展线上线下学法培训，确保全员完成年度学法任务。</w:t>
      </w:r>
      <w:r>
        <w:rPr>
          <w:rFonts w:hint="eastAsia" w:ascii="仿宋_GB2312" w:hAnsi="仿宋_GB2312" w:eastAsia="仿宋_GB2312" w:cs="仿宋_GB2312"/>
          <w:sz w:val="32"/>
          <w:szCs w:val="40"/>
          <w:lang w:val="en-US" w:eastAsia="zh-CN"/>
        </w:rPr>
        <w:t>全年组织集中学法20余次。</w:t>
      </w:r>
      <w:r>
        <w:rPr>
          <w:rFonts w:hint="eastAsia" w:ascii="仿宋_GB2312" w:hAnsi="仿宋_GB2312" w:eastAsia="仿宋_GB2312" w:cs="仿宋_GB2312"/>
          <w:sz w:val="32"/>
          <w:szCs w:val="32"/>
        </w:rPr>
        <w:t>二是开展精准普法。结合重要时间节点，开展法治宣传“六进”活动；针对老年人防非法行医、青少年健康权益保护等重点内容，推出定制化普法内容，扩大普法覆盖面。</w:t>
      </w:r>
      <w:r>
        <w:rPr>
          <w:rFonts w:hint="eastAsia" w:ascii="仿宋_GB2312" w:hAnsi="仿宋_GB2312" w:eastAsia="仿宋_GB2312" w:cs="仿宋_GB2312"/>
          <w:sz w:val="32"/>
          <w:szCs w:val="40"/>
          <w:lang w:val="en-US" w:eastAsia="zh-CN"/>
        </w:rPr>
        <w:t>全年印发宣传资料5万余份</w:t>
      </w:r>
      <w:r>
        <w:rPr>
          <w:rFonts w:hint="eastAsia" w:ascii="仿宋_GB2312" w:hAnsi="仿宋_GB2312" w:eastAsia="仿宋_GB2312" w:cs="仿宋_GB2312"/>
          <w:sz w:val="32"/>
          <w:szCs w:val="40"/>
        </w:rPr>
        <w:t>。</w:t>
      </w:r>
      <w:r>
        <w:rPr>
          <w:rFonts w:hint="eastAsia" w:ascii="仿宋_GB2312" w:hAnsi="仿宋_GB2312" w:eastAsia="仿宋_GB2312" w:cs="仿宋_GB2312"/>
          <w:sz w:val="32"/>
          <w:szCs w:val="32"/>
        </w:rPr>
        <w:t>三是加强队伍建设。聘请专业法律顾问，全程参与重大决策、执法办案和纠纷调处；组织执法人员开展技能比武和案卷评查活动，提升执法队伍专业素养。</w:t>
      </w:r>
    </w:p>
    <w:p w14:paraId="3A62DB2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 w:hAnsi="楷体" w:eastAsia="楷体" w:cs="楷体"/>
          <w:sz w:val="32"/>
          <w:szCs w:val="32"/>
          <w:lang w:eastAsia="zh-CN"/>
        </w:rPr>
        <w:t>（二）规范行政执法行为，提升卫生监管执法效能。</w:t>
      </w:r>
      <w:r>
        <w:rPr>
          <w:rFonts w:hint="eastAsia" w:ascii="仿宋_GB2312" w:hAnsi="仿宋_GB2312" w:eastAsia="仿宋_GB2312" w:cs="仿宋_GB2312"/>
          <w:sz w:val="32"/>
          <w:szCs w:val="32"/>
        </w:rPr>
        <w:t>一是健全执法制度。严格落实行政执法“三项制度”，制定卫生健康行政执法自由裁量权基准，明确不同违法行为的处罚标准，确保重大执法决定法制审核全覆盖。二是创新监管模式。深化“双随机、一公开”监管，对医疗机构、公共场所等单位开展抽查，抽查结果全部公开。三是开展违法案件查处。全年共查处违法案件</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起，罚款金额共计</w:t>
      </w:r>
      <w:r>
        <w:rPr>
          <w:rFonts w:hint="eastAsia" w:ascii="仿宋_GB2312" w:hAnsi="仿宋_GB2312" w:eastAsia="仿宋_GB2312" w:cs="仿宋_GB2312"/>
          <w:sz w:val="32"/>
          <w:szCs w:val="32"/>
          <w:lang w:val="en-US" w:eastAsia="zh-CN"/>
        </w:rPr>
        <w:t>250000</w:t>
      </w:r>
      <w:r>
        <w:rPr>
          <w:rFonts w:hint="eastAsia" w:ascii="仿宋_GB2312" w:hAnsi="仿宋_GB2312" w:eastAsia="仿宋_GB2312" w:cs="仿宋_GB2312"/>
          <w:sz w:val="32"/>
          <w:szCs w:val="32"/>
        </w:rPr>
        <w:t>元，所有案件均已结案，未发生行政复议和行政诉讼。四是开展日常监督检查。全年共对</w:t>
      </w:r>
      <w:r>
        <w:rPr>
          <w:rFonts w:hint="eastAsia" w:ascii="仿宋_GB2312" w:hAnsi="仿宋_GB2312" w:eastAsia="仿宋_GB2312" w:cs="仿宋_GB2312"/>
          <w:sz w:val="32"/>
          <w:szCs w:val="32"/>
          <w:lang w:val="en-US" w:eastAsia="zh-CN"/>
        </w:rPr>
        <w:t>194</w:t>
      </w:r>
      <w:r>
        <w:rPr>
          <w:rFonts w:hint="eastAsia" w:ascii="仿宋_GB2312" w:hAnsi="仿宋_GB2312" w:eastAsia="仿宋_GB2312" w:cs="仿宋_GB2312"/>
          <w:sz w:val="32"/>
          <w:szCs w:val="32"/>
        </w:rPr>
        <w:t>家医疗服务、</w:t>
      </w:r>
      <w:r>
        <w:rPr>
          <w:rFonts w:hint="eastAsia" w:ascii="仿宋_GB2312" w:hAnsi="仿宋_GB2312" w:eastAsia="仿宋_GB2312" w:cs="仿宋_GB2312"/>
          <w:sz w:val="32"/>
          <w:szCs w:val="32"/>
          <w:lang w:val="en-US" w:eastAsia="zh-CN"/>
        </w:rPr>
        <w:t>195</w:t>
      </w:r>
      <w:r>
        <w:rPr>
          <w:rFonts w:hint="eastAsia" w:ascii="仿宋_GB2312" w:hAnsi="仿宋_GB2312" w:eastAsia="仿宋_GB2312" w:cs="仿宋_GB2312"/>
          <w:sz w:val="32"/>
          <w:szCs w:val="32"/>
        </w:rPr>
        <w:t>家传染病防治、</w:t>
      </w:r>
      <w:r>
        <w:rPr>
          <w:rFonts w:hint="eastAsia" w:ascii="仿宋_GB2312" w:hAnsi="仿宋_GB2312" w:eastAsia="仿宋_GB2312" w:cs="仿宋_GB2312"/>
          <w:sz w:val="32"/>
          <w:szCs w:val="32"/>
          <w:lang w:val="en-US" w:eastAsia="zh-CN"/>
        </w:rPr>
        <w:t>34</w:t>
      </w:r>
      <w:r>
        <w:rPr>
          <w:rFonts w:hint="eastAsia" w:ascii="仿宋_GB2312" w:hAnsi="仿宋_GB2312" w:eastAsia="仿宋_GB2312" w:cs="仿宋_GB2312"/>
          <w:sz w:val="32"/>
          <w:szCs w:val="32"/>
        </w:rPr>
        <w:t>所学校、</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家放射诊疗单位、</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家生活饮用水集中供水、</w:t>
      </w:r>
      <w:r>
        <w:rPr>
          <w:rFonts w:hint="eastAsia" w:ascii="仿宋_GB2312" w:hAnsi="仿宋_GB2312" w:eastAsia="仿宋_GB2312" w:cs="仿宋_GB2312"/>
          <w:sz w:val="32"/>
          <w:szCs w:val="32"/>
          <w:lang w:val="en-US" w:eastAsia="zh-CN"/>
        </w:rPr>
        <w:t>171</w:t>
      </w:r>
      <w:r>
        <w:rPr>
          <w:rFonts w:hint="eastAsia" w:ascii="仿宋_GB2312" w:hAnsi="仿宋_GB2312" w:eastAsia="仿宋_GB2312" w:cs="仿宋_GB2312"/>
          <w:sz w:val="32"/>
          <w:szCs w:val="32"/>
        </w:rPr>
        <w:t>家公共场所，</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家妇幼健康，</w:t>
      </w:r>
      <w:r>
        <w:rPr>
          <w:rFonts w:hint="eastAsia" w:ascii="仿宋_GB2312" w:hAnsi="仿宋_GB2312" w:eastAsia="仿宋_GB2312" w:cs="仿宋_GB2312"/>
          <w:sz w:val="32"/>
          <w:szCs w:val="32"/>
          <w:lang w:val="en-US" w:eastAsia="zh-CN"/>
        </w:rPr>
        <w:t>39</w:t>
      </w:r>
      <w:r>
        <w:rPr>
          <w:rFonts w:hint="eastAsia" w:ascii="仿宋_GB2312" w:hAnsi="仿宋_GB2312" w:eastAsia="仿宋_GB2312" w:cs="仿宋_GB2312"/>
          <w:sz w:val="32"/>
          <w:szCs w:val="32"/>
        </w:rPr>
        <w:t>家职业危害用人单位等监管单位覆盖率达到100%，并开展中医药服务卫生监督</w:t>
      </w:r>
      <w:r>
        <w:rPr>
          <w:rFonts w:hint="eastAsia" w:ascii="仿宋_GB2312" w:hAnsi="仿宋_GB2312" w:eastAsia="仿宋_GB2312" w:cs="仿宋_GB2312"/>
          <w:sz w:val="32"/>
          <w:szCs w:val="32"/>
          <w:lang w:val="en-US" w:eastAsia="zh-CN"/>
        </w:rPr>
        <w:t>165</w:t>
      </w:r>
      <w:r>
        <w:rPr>
          <w:rFonts w:hint="eastAsia" w:ascii="仿宋_GB2312" w:hAnsi="仿宋_GB2312" w:eastAsia="仿宋_GB2312" w:cs="仿宋_GB2312"/>
          <w:sz w:val="32"/>
          <w:szCs w:val="32"/>
        </w:rPr>
        <w:t>家，对</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家农村小型集中供水站进行了生活饮用水卫生监督。</w:t>
      </w:r>
    </w:p>
    <w:p w14:paraId="0C0463E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 w:hAnsi="楷体" w:eastAsia="楷体" w:cs="楷体"/>
          <w:sz w:val="32"/>
          <w:szCs w:val="32"/>
          <w:lang w:eastAsia="zh-CN"/>
        </w:rPr>
        <w:t>（三）健全风险防控机制，妥善化解矛盾纠纷。</w:t>
      </w:r>
      <w:r>
        <w:rPr>
          <w:rFonts w:hint="eastAsia" w:ascii="仿宋_GB2312" w:hAnsi="仿宋_GB2312" w:eastAsia="仿宋_GB2312" w:cs="仿宋_GB2312"/>
          <w:sz w:val="32"/>
          <w:szCs w:val="32"/>
        </w:rPr>
        <w:t>一是规范重大行政决策。严格落实公众参与、专家论证、风险评估、合法性审查等程序，完成重大决策合法性审查，未发生违法决策情形。二是完善纠纷化解机制。健全“人民调解+行政调解+司法诉讼”多元化解模式，联合医调委调处医疗纠纷，调解成功率保持较高水平；依法妥善处置行政复议和行政诉讼案件。三是强化舆情应对。建立涉医舆情监测和快速响应机制，及时回应、依法处置涉医舆情，未发生重大舆情事件。</w:t>
      </w:r>
    </w:p>
    <w:p w14:paraId="1B0BE89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二、推进法治政府建设存在的不足和原因</w:t>
      </w:r>
    </w:p>
    <w:p w14:paraId="7D1C0D3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（一）存在的不足</w:t>
      </w:r>
    </w:p>
    <w:p w14:paraId="3B7CFCA9">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1.法治思维融合深度不足</w:t>
      </w:r>
    </w:p>
    <w:p w14:paraId="452F8F3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部分基层医疗机构负责人存在“重业务、轻法治”倾向，诊疗活动中违规执业、不规范书写病历等问题时有发生；少数干部在处置医患纠纷、应对突发公共卫生事件时，运用法治手段解决问题的主动性不强。</w:t>
      </w:r>
    </w:p>
    <w:p w14:paraId="573D42D9">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2.执法能力与新业态不匹配</w:t>
      </w:r>
    </w:p>
    <w:p w14:paraId="2172879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执法队伍对新兴领域的法律法规和监管标准把握不准，存在执法盲区；部分执法人员文书制作不规范、程序意识不强，案卷质量有待提升。</w:t>
      </w:r>
    </w:p>
    <w:p w14:paraId="2408384D">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3.普法宣传质效有待提升</w:t>
      </w:r>
    </w:p>
    <w:p w14:paraId="385359C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普法形式仍以传统的发放资料、现场宣讲为主，新媒体普法内容的趣味性和互动性不足；“谁执法谁普法”责任制落实不到位，执法与普法的融合度不高，群众法治知晓率不均衡。</w:t>
      </w:r>
    </w:p>
    <w:p w14:paraId="441385D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（二）原因分析</w:t>
      </w:r>
    </w:p>
    <w:p w14:paraId="08819137">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1.思想认识存在偏差</w:t>
      </w:r>
    </w:p>
    <w:p w14:paraId="31F7DCA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部分单位和个人对法治政府建设的重要性认识不足，将法治工作视为“软任务”，未将其与业务工作同部署、同落实、同考核，缺乏主动学法用法的内生动力。</w:t>
      </w:r>
    </w:p>
    <w:p w14:paraId="3709C4F3">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2.培训机制不够完善</w:t>
      </w:r>
    </w:p>
    <w:p w14:paraId="5B3D89B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法治培训内容偏理论、轻实操，对新兴领域执法实务、复杂纠纷调处等内容的培训不足；培训方式单一，缺乏案例教学和现场演练，难以提升干部职工的实际应用能力。</w:t>
      </w:r>
    </w:p>
    <w:p w14:paraId="6CB6B358">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3.资源保障投入不足</w:t>
      </w:r>
    </w:p>
    <w:p w14:paraId="6EDCDBC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财政对执法装备、信息化建设的投入力度不够，基层医疗机构法治建设经费短缺，难以开展常态化的普法和培训活动。</w:t>
      </w:r>
    </w:p>
    <w:p w14:paraId="0643236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三、2026年推进法治政府建设的主要安排和具体计划</w:t>
      </w:r>
    </w:p>
    <w:p w14:paraId="5B3E802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2026年，县卫健局将聚焦短板弱项，强化精准发力，以更高标准、更实举措推进法治政府建设，具体安排如下：</w:t>
      </w:r>
    </w:p>
    <w:p w14:paraId="76F2A64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 w:hAnsi="楷体" w:eastAsia="楷体" w:cs="楷体"/>
          <w:sz w:val="32"/>
          <w:szCs w:val="32"/>
          <w:lang w:eastAsia="zh-CN"/>
        </w:rPr>
        <w:t>（一）深化法治教育培训，夯实依法行政基础。</w:t>
      </w:r>
      <w:r>
        <w:rPr>
          <w:rFonts w:hint="eastAsia" w:ascii="仿宋_GB2312" w:hAnsi="仿宋_GB2312" w:eastAsia="仿宋_GB2312" w:cs="仿宋_GB2312"/>
          <w:sz w:val="32"/>
          <w:szCs w:val="32"/>
        </w:rPr>
        <w:t>强化理论武装，将习近平法治思想纳入党组理论学习中心组学习和干部职工培训核心内容，常态化开展专题学习和法治讲座，重点学习新修订的卫生健康领域法律法规。压实普法责任，制定年度普法工作计划，明确责任清单，针对重点群体开展定制化普法培训和“执法+普法”现场宣讲活动，打造新媒体普法矩阵。建强专业队伍，组织执法人员参加上级专题培训，开展案卷评查和执法技能比武，完善法律顾问工作机制，充分发挥法律顾问在执法办案、政策制定等工作中的作用。</w:t>
      </w:r>
    </w:p>
    <w:p w14:paraId="2E1CE7C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 w:hAnsi="楷体" w:eastAsia="楷体" w:cs="楷体"/>
          <w:sz w:val="32"/>
          <w:szCs w:val="32"/>
          <w:lang w:eastAsia="zh-CN"/>
        </w:rPr>
        <w:t>（二）规范行政执法行为，提升综合监管效能。</w:t>
      </w:r>
      <w:r>
        <w:rPr>
          <w:rFonts w:hint="eastAsia" w:ascii="仿宋_GB2312" w:hAnsi="仿宋_GB2312" w:eastAsia="仿宋_GB2312" w:cs="仿宋_GB2312"/>
          <w:sz w:val="32"/>
          <w:szCs w:val="32"/>
        </w:rPr>
        <w:t>完善执法制度规范，针对新兴领域制定专项执法指引，细化行政执法自由裁量权基准，杜绝执法畸轻畸重现象，严格落实执法全过程记录制度。创新监管模式方法，深化“双随机、一公开”监管与信用监管、智慧监管的融合应用，建立医疗机构依法执业信用评价体系，推行轻微违法行为依法不予处罚清单。强化重点领域监管，聚焦非法行医、医疗废物处置、饮用水卫生、学校卫生等重点领域开展专项整治，加强与公安、市场监管等部门的协同联动，开展联合执法形成监管合力。</w:t>
      </w:r>
    </w:p>
    <w:p w14:paraId="075DB3D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 w:hAnsi="楷体" w:eastAsia="楷体" w:cs="楷体"/>
          <w:sz w:val="32"/>
          <w:szCs w:val="32"/>
          <w:lang w:eastAsia="zh-CN"/>
        </w:rPr>
        <w:t>（三）健全风险防控机制，防范化解法治风险。</w:t>
      </w:r>
      <w:r>
        <w:rPr>
          <w:rFonts w:hint="eastAsia" w:ascii="仿宋_GB2312" w:hAnsi="仿宋_GB2312" w:eastAsia="仿宋_GB2312" w:cs="仿宋_GB2312"/>
          <w:sz w:val="32"/>
          <w:szCs w:val="32"/>
        </w:rPr>
        <w:t>规范重大行政决策程序，严格落实重大行政决策各项法定程序，确保所有重大决策均经过合法性审查。完善矛盾纠纷化解机制，加强与医调委、法院等部门的协作，健全医疗纠纷多元化解模式，开展纠纷调处业务培训，保持较高的医疗纠纷调解成功率。强化舆情风险应对，完善涉医舆情应急预案，建立舆情监测专班，实现舆情实时监测、快速研判和依法处置，加强舆情应对培训，杜绝重大舆情事件发生。</w:t>
      </w:r>
    </w:p>
    <w:p w14:paraId="3EECE0BC">
      <w:pPr>
        <w:keepNext w:val="0"/>
        <w:keepLines w:val="0"/>
        <w:pageBreakBefore w:val="0"/>
        <w:widowControl w:val="0"/>
        <w:kinsoku/>
        <w:wordWrap/>
        <w:overflowPunct/>
        <w:topLinePunct w:val="0"/>
        <w:autoSpaceDE/>
        <w:autoSpaceDN/>
        <w:bidi w:val="0"/>
        <w:adjustRightInd/>
        <w:snapToGrid/>
        <w:spacing w:line="600" w:lineRule="exact"/>
        <w:ind w:firstLine="5440" w:firstLineChars="1700"/>
        <w:jc w:val="both"/>
        <w:textAlignment w:val="auto"/>
        <w:rPr>
          <w:rFonts w:hint="eastAsia" w:ascii="仿宋_GB2312" w:hAnsi="仿宋_GB2312" w:eastAsia="仿宋_GB2312" w:cs="仿宋_GB2312"/>
          <w:sz w:val="32"/>
          <w:szCs w:val="32"/>
        </w:rPr>
      </w:pPr>
    </w:p>
    <w:p w14:paraId="23B635BF">
      <w:pPr>
        <w:keepNext w:val="0"/>
        <w:keepLines w:val="0"/>
        <w:pageBreakBefore w:val="0"/>
        <w:widowControl w:val="0"/>
        <w:kinsoku/>
        <w:wordWrap/>
        <w:overflowPunct/>
        <w:topLinePunct w:val="0"/>
        <w:autoSpaceDE/>
        <w:autoSpaceDN/>
        <w:bidi w:val="0"/>
        <w:adjustRightInd/>
        <w:snapToGrid/>
        <w:spacing w:line="600" w:lineRule="exact"/>
        <w:ind w:firstLine="5440" w:firstLineChars="1700"/>
        <w:jc w:val="both"/>
        <w:textAlignment w:val="auto"/>
        <w:rPr>
          <w:rFonts w:hint="eastAsia" w:ascii="仿宋_GB2312" w:hAnsi="仿宋_GB2312" w:eastAsia="仿宋_GB2312" w:cs="仿宋_GB2312"/>
          <w:sz w:val="32"/>
          <w:szCs w:val="32"/>
        </w:rPr>
      </w:pPr>
    </w:p>
    <w:p w14:paraId="0A90A7EE">
      <w:pPr>
        <w:keepNext w:val="0"/>
        <w:keepLines w:val="0"/>
        <w:pageBreakBefore w:val="0"/>
        <w:widowControl w:val="0"/>
        <w:kinsoku/>
        <w:wordWrap/>
        <w:overflowPunct/>
        <w:topLinePunct w:val="0"/>
        <w:autoSpaceDE/>
        <w:autoSpaceDN/>
        <w:bidi w:val="0"/>
        <w:adjustRightInd/>
        <w:snapToGrid/>
        <w:spacing w:line="600" w:lineRule="exact"/>
        <w:ind w:firstLine="5440" w:firstLineChars="1700"/>
        <w:jc w:val="both"/>
        <w:textAlignment w:val="auto"/>
        <w:rPr>
          <w:rFonts w:hint="eastAsia" w:ascii="仿宋_GB2312" w:hAnsi="仿宋_GB2312" w:eastAsia="仿宋_GB2312" w:cs="仿宋_GB2312"/>
          <w:sz w:val="32"/>
          <w:szCs w:val="32"/>
        </w:rPr>
      </w:pPr>
    </w:p>
    <w:p w14:paraId="1FC3117F">
      <w:pPr>
        <w:keepNext w:val="0"/>
        <w:keepLines w:val="0"/>
        <w:pageBreakBefore w:val="0"/>
        <w:widowControl w:val="0"/>
        <w:kinsoku/>
        <w:wordWrap/>
        <w:overflowPunct/>
        <w:topLinePunct w:val="0"/>
        <w:autoSpaceDE/>
        <w:autoSpaceDN/>
        <w:bidi w:val="0"/>
        <w:adjustRightInd/>
        <w:snapToGrid/>
        <w:spacing w:line="600" w:lineRule="exact"/>
        <w:ind w:firstLine="5440" w:firstLineChars="1700"/>
        <w:jc w:val="both"/>
        <w:textAlignment w:val="auto"/>
        <w:rPr>
          <w:rFonts w:hint="eastAsia" w:ascii="仿宋_GB2312" w:hAnsi="仿宋_GB2312" w:eastAsia="仿宋_GB2312" w:cs="仿宋_GB2312"/>
          <w:sz w:val="32"/>
          <w:szCs w:val="32"/>
        </w:rPr>
      </w:pPr>
    </w:p>
    <w:p w14:paraId="5839C540">
      <w:pPr>
        <w:keepNext w:val="0"/>
        <w:keepLines w:val="0"/>
        <w:pageBreakBefore w:val="0"/>
        <w:widowControl w:val="0"/>
        <w:kinsoku/>
        <w:wordWrap/>
        <w:overflowPunct/>
        <w:topLinePunct w:val="0"/>
        <w:autoSpaceDE/>
        <w:autoSpaceDN/>
        <w:bidi w:val="0"/>
        <w:adjustRightInd/>
        <w:snapToGrid/>
        <w:spacing w:line="600" w:lineRule="exact"/>
        <w:ind w:firstLine="5440" w:firstLineChars="17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黎城县卫生健康局</w:t>
      </w:r>
    </w:p>
    <w:p w14:paraId="56F3A15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日</w:t>
      </w:r>
    </w:p>
    <w:sectPr>
      <w:footerReference r:id="rId3" w:type="default"/>
      <w:pgSz w:w="11906" w:h="16838"/>
      <w:pgMar w:top="2098" w:right="1474" w:bottom="181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60FC2D1-9CE8-42E2-9BD6-21305369F648}"/>
  </w:font>
  <w:font w:name="Arial">
    <w:panose1 w:val="020B0604020202020204"/>
    <w:charset w:val="01"/>
    <w:family w:val="swiss"/>
    <w:pitch w:val="default"/>
    <w:sig w:usb0="E0002AFF" w:usb1="C0007843" w:usb2="00000009" w:usb3="00000000" w:csb0="400001FF" w:csb1="FFFF0000"/>
    <w:embedRegular r:id="rId2" w:fontKey="{24D31232-2DFC-44DF-97F5-819EAC77B446}"/>
  </w:font>
  <w:font w:name="黑体">
    <w:panose1 w:val="02010609060101010101"/>
    <w:charset w:val="86"/>
    <w:family w:val="auto"/>
    <w:pitch w:val="default"/>
    <w:sig w:usb0="800002BF" w:usb1="38CF7CFA" w:usb2="00000016" w:usb3="00000000" w:csb0="00040001" w:csb1="00000000"/>
    <w:embedRegular r:id="rId3" w:fontKey="{9E9A5014-802B-4FC9-95C7-46DFF18A8A75}"/>
  </w:font>
  <w:font w:name="Courier New">
    <w:panose1 w:val="02070309020205020404"/>
    <w:charset w:val="01"/>
    <w:family w:val="modern"/>
    <w:pitch w:val="default"/>
    <w:sig w:usb0="E0002AFF" w:usb1="C0007843" w:usb2="00000009" w:usb3="00000000" w:csb0="400001FF" w:csb1="FFFF0000"/>
    <w:embedRegular r:id="rId4" w:fontKey="{C4AF8358-33F7-4763-8A01-BCDE14E9C73C}"/>
  </w:font>
  <w:font w:name="Symbol">
    <w:panose1 w:val="05050102010706020507"/>
    <w:charset w:val="02"/>
    <w:family w:val="roman"/>
    <w:pitch w:val="default"/>
    <w:sig w:usb0="00000000" w:usb1="00000000" w:usb2="00000000" w:usb3="00000000" w:csb0="80000000" w:csb1="00000000"/>
    <w:embedRegular r:id="rId5" w:fontKey="{0615AC5B-28D0-4D1C-8C9B-682CA6341D7C}"/>
  </w:font>
  <w:font w:name="Calibri">
    <w:panose1 w:val="020F0502020204030204"/>
    <w:charset w:val="00"/>
    <w:family w:val="swiss"/>
    <w:pitch w:val="default"/>
    <w:sig w:usb0="E00002FF" w:usb1="4000ACFF" w:usb2="00000001" w:usb3="00000000" w:csb0="2000019F" w:csb1="00000000"/>
    <w:embedRegular r:id="rId6" w:fontKey="{88D62D7B-A81E-4BBF-B0A1-9D24FE33416E}"/>
  </w:font>
  <w:font w:name="仿宋_GB2312">
    <w:panose1 w:val="02010609030101010101"/>
    <w:charset w:val="86"/>
    <w:family w:val="modern"/>
    <w:pitch w:val="default"/>
    <w:sig w:usb0="00000001" w:usb1="080E0000" w:usb2="00000000" w:usb3="00000000" w:csb0="00040000" w:csb1="00000000"/>
    <w:embedRegular r:id="rId7" w:fontKey="{E101BCDB-3280-46B7-B188-87119838F274}"/>
  </w:font>
  <w:font w:name="方正小标宋简体">
    <w:panose1 w:val="03000509000000000000"/>
    <w:charset w:val="86"/>
    <w:family w:val="auto"/>
    <w:pitch w:val="default"/>
    <w:sig w:usb0="00000001" w:usb1="080E0000" w:usb2="00000000" w:usb3="00000000" w:csb0="00040000" w:csb1="00000000"/>
    <w:embedRegular r:id="rId8" w:fontKey="{5CC48377-18D0-430B-B6AF-450EA3959391}"/>
  </w:font>
  <w:font w:name="楷体">
    <w:panose1 w:val="02010609060101010101"/>
    <w:charset w:val="86"/>
    <w:family w:val="auto"/>
    <w:pitch w:val="default"/>
    <w:sig w:usb0="800002BF" w:usb1="38CF7CFA" w:usb2="00000016" w:usb3="00000000" w:csb0="00040001" w:csb1="00000000"/>
    <w:embedRegular r:id="rId9" w:fontKey="{64F4787A-CBB6-4E2D-B577-AB6BE03B04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46F6F">
    <w:pPr>
      <w:pStyle w:val="6"/>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37423B2C">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CsOWr25wEAAMcD&#10;AAAOAAAAAAAAAAEAIAAAAB4BAABkcnMvZTJvRG9jLnhtbFBLBQYAAAAABgAGAFkBAAB3BQAAAAA=&#10;">
              <v:fill on="f" focussize="0,0"/>
              <v:stroke on="f"/>
              <v:imagedata o:title=""/>
              <o:lock v:ext="edit" aspectratio="f"/>
              <v:textbox inset="0mm,0mm,0mm,0mm" style="mso-fit-shape-to-text:t;">
                <w:txbxContent>
                  <w:p w14:paraId="37423B2C">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wODk2NDU2YjgyNjlmYmY4NjkyZTgzZWU5MTE4NmUifQ=="/>
  </w:docVars>
  <w:rsids>
    <w:rsidRoot w:val="00927C43"/>
    <w:rsid w:val="0000226A"/>
    <w:rsid w:val="000654D4"/>
    <w:rsid w:val="001C00DE"/>
    <w:rsid w:val="001E4B4C"/>
    <w:rsid w:val="001E762A"/>
    <w:rsid w:val="002266E2"/>
    <w:rsid w:val="003100AE"/>
    <w:rsid w:val="003158D6"/>
    <w:rsid w:val="004302AD"/>
    <w:rsid w:val="004C248C"/>
    <w:rsid w:val="00530F1A"/>
    <w:rsid w:val="005645EB"/>
    <w:rsid w:val="005E468D"/>
    <w:rsid w:val="006A6302"/>
    <w:rsid w:val="006D10A0"/>
    <w:rsid w:val="0072609E"/>
    <w:rsid w:val="00775242"/>
    <w:rsid w:val="00810E6C"/>
    <w:rsid w:val="00831A86"/>
    <w:rsid w:val="008569DE"/>
    <w:rsid w:val="008636B3"/>
    <w:rsid w:val="00872F49"/>
    <w:rsid w:val="0089670C"/>
    <w:rsid w:val="00927C43"/>
    <w:rsid w:val="009454B5"/>
    <w:rsid w:val="009F1F3C"/>
    <w:rsid w:val="00A02FE4"/>
    <w:rsid w:val="00A42D3F"/>
    <w:rsid w:val="00A47A10"/>
    <w:rsid w:val="00A5011A"/>
    <w:rsid w:val="00A631C0"/>
    <w:rsid w:val="00BE5A10"/>
    <w:rsid w:val="00C623C8"/>
    <w:rsid w:val="00D6653C"/>
    <w:rsid w:val="00DA1DC7"/>
    <w:rsid w:val="00E24DD6"/>
    <w:rsid w:val="00E47749"/>
    <w:rsid w:val="00F05859"/>
    <w:rsid w:val="00F51F3B"/>
    <w:rsid w:val="0149735F"/>
    <w:rsid w:val="01E81273"/>
    <w:rsid w:val="02275F85"/>
    <w:rsid w:val="027034D1"/>
    <w:rsid w:val="02901546"/>
    <w:rsid w:val="02E62FD5"/>
    <w:rsid w:val="039C23CE"/>
    <w:rsid w:val="044F1EEF"/>
    <w:rsid w:val="04596C54"/>
    <w:rsid w:val="04972DC6"/>
    <w:rsid w:val="052328D8"/>
    <w:rsid w:val="053E65BD"/>
    <w:rsid w:val="059C508A"/>
    <w:rsid w:val="05A05AA5"/>
    <w:rsid w:val="05AA42DB"/>
    <w:rsid w:val="060F53FF"/>
    <w:rsid w:val="06F21F7B"/>
    <w:rsid w:val="0714745B"/>
    <w:rsid w:val="071B58D4"/>
    <w:rsid w:val="0813065C"/>
    <w:rsid w:val="08574AA3"/>
    <w:rsid w:val="08683646"/>
    <w:rsid w:val="08AC59F8"/>
    <w:rsid w:val="08F42733"/>
    <w:rsid w:val="09E73A46"/>
    <w:rsid w:val="0A3A51F3"/>
    <w:rsid w:val="0C610937"/>
    <w:rsid w:val="0CF50469"/>
    <w:rsid w:val="0DA7113B"/>
    <w:rsid w:val="0DBA1ED4"/>
    <w:rsid w:val="0DDD1B92"/>
    <w:rsid w:val="0ED24EAD"/>
    <w:rsid w:val="0F227434"/>
    <w:rsid w:val="0F8802E7"/>
    <w:rsid w:val="0FAC48DE"/>
    <w:rsid w:val="0FB73F4E"/>
    <w:rsid w:val="0FE54665"/>
    <w:rsid w:val="10AC7ABE"/>
    <w:rsid w:val="110F0096"/>
    <w:rsid w:val="11122525"/>
    <w:rsid w:val="121F0C85"/>
    <w:rsid w:val="129D1BE8"/>
    <w:rsid w:val="131D6D83"/>
    <w:rsid w:val="13592E03"/>
    <w:rsid w:val="13D632DD"/>
    <w:rsid w:val="13D9673B"/>
    <w:rsid w:val="142E79C8"/>
    <w:rsid w:val="15A57A44"/>
    <w:rsid w:val="16633063"/>
    <w:rsid w:val="16925545"/>
    <w:rsid w:val="16D65E92"/>
    <w:rsid w:val="18183127"/>
    <w:rsid w:val="18C56851"/>
    <w:rsid w:val="1963648D"/>
    <w:rsid w:val="1A914F8A"/>
    <w:rsid w:val="1B7172F8"/>
    <w:rsid w:val="1BAB362F"/>
    <w:rsid w:val="1C994037"/>
    <w:rsid w:val="1D021D48"/>
    <w:rsid w:val="1D074DE9"/>
    <w:rsid w:val="1D1C7212"/>
    <w:rsid w:val="1D416B79"/>
    <w:rsid w:val="1D547567"/>
    <w:rsid w:val="1D6B1699"/>
    <w:rsid w:val="1E0C28E2"/>
    <w:rsid w:val="1E832B04"/>
    <w:rsid w:val="1E9A4083"/>
    <w:rsid w:val="1EBD1655"/>
    <w:rsid w:val="1F2A5011"/>
    <w:rsid w:val="1FBC3174"/>
    <w:rsid w:val="20BD449B"/>
    <w:rsid w:val="21A544FA"/>
    <w:rsid w:val="222973EA"/>
    <w:rsid w:val="22624154"/>
    <w:rsid w:val="22966F2F"/>
    <w:rsid w:val="22C20B1D"/>
    <w:rsid w:val="230D6392"/>
    <w:rsid w:val="230E2E8A"/>
    <w:rsid w:val="23FA0AD8"/>
    <w:rsid w:val="24A22D21"/>
    <w:rsid w:val="24E63708"/>
    <w:rsid w:val="254827EF"/>
    <w:rsid w:val="25B04EEF"/>
    <w:rsid w:val="25B67073"/>
    <w:rsid w:val="26976211"/>
    <w:rsid w:val="26F82DBC"/>
    <w:rsid w:val="27C323E1"/>
    <w:rsid w:val="27C5650F"/>
    <w:rsid w:val="281218D5"/>
    <w:rsid w:val="2858566D"/>
    <w:rsid w:val="29395B96"/>
    <w:rsid w:val="29BF0224"/>
    <w:rsid w:val="2A19591C"/>
    <w:rsid w:val="2A522174"/>
    <w:rsid w:val="2A5775CA"/>
    <w:rsid w:val="2A6D57C4"/>
    <w:rsid w:val="2A757F29"/>
    <w:rsid w:val="2ABC340D"/>
    <w:rsid w:val="2ACB7860"/>
    <w:rsid w:val="2B527728"/>
    <w:rsid w:val="2BD958F4"/>
    <w:rsid w:val="2CDC125A"/>
    <w:rsid w:val="2E024BD3"/>
    <w:rsid w:val="2E11192B"/>
    <w:rsid w:val="2E2A1E44"/>
    <w:rsid w:val="2EC02FF3"/>
    <w:rsid w:val="2EC0765E"/>
    <w:rsid w:val="2F1F6710"/>
    <w:rsid w:val="30492FE3"/>
    <w:rsid w:val="309C680C"/>
    <w:rsid w:val="30CD250D"/>
    <w:rsid w:val="312F6CF2"/>
    <w:rsid w:val="32717A48"/>
    <w:rsid w:val="334D7F19"/>
    <w:rsid w:val="33A104E4"/>
    <w:rsid w:val="347A2ABF"/>
    <w:rsid w:val="34A27663"/>
    <w:rsid w:val="34CE6F54"/>
    <w:rsid w:val="35E7466E"/>
    <w:rsid w:val="361E0620"/>
    <w:rsid w:val="368736FF"/>
    <w:rsid w:val="36F823B4"/>
    <w:rsid w:val="37B320E9"/>
    <w:rsid w:val="388826E2"/>
    <w:rsid w:val="38950B4C"/>
    <w:rsid w:val="393A2634"/>
    <w:rsid w:val="3A66029F"/>
    <w:rsid w:val="3AE533E8"/>
    <w:rsid w:val="3AF275C5"/>
    <w:rsid w:val="3B2032E3"/>
    <w:rsid w:val="3B8041D6"/>
    <w:rsid w:val="3D083626"/>
    <w:rsid w:val="3D5C2DB1"/>
    <w:rsid w:val="3DCB439A"/>
    <w:rsid w:val="3DF22D55"/>
    <w:rsid w:val="3E6E3791"/>
    <w:rsid w:val="3E804E28"/>
    <w:rsid w:val="3F1A523E"/>
    <w:rsid w:val="3F3E024C"/>
    <w:rsid w:val="3FAC46D2"/>
    <w:rsid w:val="3FDA10B8"/>
    <w:rsid w:val="402754AB"/>
    <w:rsid w:val="40C93D1C"/>
    <w:rsid w:val="41485F3D"/>
    <w:rsid w:val="41544758"/>
    <w:rsid w:val="415B119D"/>
    <w:rsid w:val="416D69B6"/>
    <w:rsid w:val="41CD4769"/>
    <w:rsid w:val="423124C7"/>
    <w:rsid w:val="423F2A67"/>
    <w:rsid w:val="42571C6F"/>
    <w:rsid w:val="42C802D6"/>
    <w:rsid w:val="435669D3"/>
    <w:rsid w:val="439C4DED"/>
    <w:rsid w:val="43E41B7C"/>
    <w:rsid w:val="43E47B62"/>
    <w:rsid w:val="43FC375C"/>
    <w:rsid w:val="44564924"/>
    <w:rsid w:val="44C0253D"/>
    <w:rsid w:val="44CC5029"/>
    <w:rsid w:val="45810C27"/>
    <w:rsid w:val="45943202"/>
    <w:rsid w:val="45CA13BF"/>
    <w:rsid w:val="468E3575"/>
    <w:rsid w:val="47B26756"/>
    <w:rsid w:val="48117901"/>
    <w:rsid w:val="483E1E5D"/>
    <w:rsid w:val="48D1146B"/>
    <w:rsid w:val="48F9477C"/>
    <w:rsid w:val="49734288"/>
    <w:rsid w:val="49B41571"/>
    <w:rsid w:val="4A356B6A"/>
    <w:rsid w:val="4AAC4828"/>
    <w:rsid w:val="4ABC492B"/>
    <w:rsid w:val="4AD25BAA"/>
    <w:rsid w:val="4AF2494E"/>
    <w:rsid w:val="4B054849"/>
    <w:rsid w:val="4B7600AC"/>
    <w:rsid w:val="4C3027D9"/>
    <w:rsid w:val="4C332169"/>
    <w:rsid w:val="4C622423"/>
    <w:rsid w:val="4CB82B19"/>
    <w:rsid w:val="4D8C2D86"/>
    <w:rsid w:val="4DAC1D28"/>
    <w:rsid w:val="4DAC76D4"/>
    <w:rsid w:val="4E2B2760"/>
    <w:rsid w:val="4E2F19DE"/>
    <w:rsid w:val="4E3B0670"/>
    <w:rsid w:val="51256B5C"/>
    <w:rsid w:val="52192365"/>
    <w:rsid w:val="52663E95"/>
    <w:rsid w:val="528E0DD8"/>
    <w:rsid w:val="53106D22"/>
    <w:rsid w:val="53783CF9"/>
    <w:rsid w:val="542878BA"/>
    <w:rsid w:val="54386D35"/>
    <w:rsid w:val="549F186E"/>
    <w:rsid w:val="54BB64D9"/>
    <w:rsid w:val="54CD1BD3"/>
    <w:rsid w:val="55A15EF4"/>
    <w:rsid w:val="55C25474"/>
    <w:rsid w:val="55EF4504"/>
    <w:rsid w:val="568219A8"/>
    <w:rsid w:val="568F4486"/>
    <w:rsid w:val="57B123DF"/>
    <w:rsid w:val="57ED391C"/>
    <w:rsid w:val="58781EE4"/>
    <w:rsid w:val="588A3481"/>
    <w:rsid w:val="58C24893"/>
    <w:rsid w:val="59A37503"/>
    <w:rsid w:val="5AB5028B"/>
    <w:rsid w:val="5AD67FBD"/>
    <w:rsid w:val="5AF36849"/>
    <w:rsid w:val="5B750E36"/>
    <w:rsid w:val="5BFD78D5"/>
    <w:rsid w:val="5C0A10EF"/>
    <w:rsid w:val="5C212BE6"/>
    <w:rsid w:val="5C565D14"/>
    <w:rsid w:val="5C865565"/>
    <w:rsid w:val="5D1058A3"/>
    <w:rsid w:val="5D571C6E"/>
    <w:rsid w:val="5D5A3AA7"/>
    <w:rsid w:val="5D896EF3"/>
    <w:rsid w:val="5E055E34"/>
    <w:rsid w:val="5E2475FE"/>
    <w:rsid w:val="5E477832"/>
    <w:rsid w:val="5EB50A07"/>
    <w:rsid w:val="5EBF17A0"/>
    <w:rsid w:val="5ED14532"/>
    <w:rsid w:val="5F095E3C"/>
    <w:rsid w:val="5F3D1531"/>
    <w:rsid w:val="5FEF0B78"/>
    <w:rsid w:val="609A4D2A"/>
    <w:rsid w:val="60AC52DF"/>
    <w:rsid w:val="60D01660"/>
    <w:rsid w:val="60F0069C"/>
    <w:rsid w:val="613E620A"/>
    <w:rsid w:val="616E1341"/>
    <w:rsid w:val="61701AC5"/>
    <w:rsid w:val="617605E2"/>
    <w:rsid w:val="621C0D9D"/>
    <w:rsid w:val="6243777A"/>
    <w:rsid w:val="626C3AD2"/>
    <w:rsid w:val="6299419B"/>
    <w:rsid w:val="63615D4C"/>
    <w:rsid w:val="64157E93"/>
    <w:rsid w:val="663D78C5"/>
    <w:rsid w:val="66B47A2F"/>
    <w:rsid w:val="676217D4"/>
    <w:rsid w:val="67873EB5"/>
    <w:rsid w:val="68100FF5"/>
    <w:rsid w:val="683338E6"/>
    <w:rsid w:val="68A54547"/>
    <w:rsid w:val="68B91EFA"/>
    <w:rsid w:val="6927132D"/>
    <w:rsid w:val="69426875"/>
    <w:rsid w:val="6A0C7949"/>
    <w:rsid w:val="6AA86A6B"/>
    <w:rsid w:val="6B2D3420"/>
    <w:rsid w:val="6B9F0E2C"/>
    <w:rsid w:val="6BBC54D6"/>
    <w:rsid w:val="6C953B81"/>
    <w:rsid w:val="6EBF7214"/>
    <w:rsid w:val="6ED02B6B"/>
    <w:rsid w:val="6ED51DB1"/>
    <w:rsid w:val="6EEE3874"/>
    <w:rsid w:val="6EEE4B8C"/>
    <w:rsid w:val="6FDD697F"/>
    <w:rsid w:val="6FEA7531"/>
    <w:rsid w:val="70026582"/>
    <w:rsid w:val="70077F16"/>
    <w:rsid w:val="702409F7"/>
    <w:rsid w:val="70E974B7"/>
    <w:rsid w:val="71215CAF"/>
    <w:rsid w:val="71ED4AB4"/>
    <w:rsid w:val="72790E6E"/>
    <w:rsid w:val="72E3611D"/>
    <w:rsid w:val="73080E4E"/>
    <w:rsid w:val="73A66244"/>
    <w:rsid w:val="740F0769"/>
    <w:rsid w:val="74247933"/>
    <w:rsid w:val="749219F1"/>
    <w:rsid w:val="749352DA"/>
    <w:rsid w:val="74A54112"/>
    <w:rsid w:val="75714179"/>
    <w:rsid w:val="760F5282"/>
    <w:rsid w:val="768B63A6"/>
    <w:rsid w:val="769A0C8F"/>
    <w:rsid w:val="76F804FA"/>
    <w:rsid w:val="771266A7"/>
    <w:rsid w:val="776E1C71"/>
    <w:rsid w:val="77D13C2A"/>
    <w:rsid w:val="7906476E"/>
    <w:rsid w:val="79241755"/>
    <w:rsid w:val="796A292F"/>
    <w:rsid w:val="79845882"/>
    <w:rsid w:val="799848D1"/>
    <w:rsid w:val="79AD3475"/>
    <w:rsid w:val="7A6240EE"/>
    <w:rsid w:val="7A651826"/>
    <w:rsid w:val="7A7F30FC"/>
    <w:rsid w:val="7B5829EE"/>
    <w:rsid w:val="7B846075"/>
    <w:rsid w:val="7B8F3EEE"/>
    <w:rsid w:val="7BBD0AF5"/>
    <w:rsid w:val="7C2E634C"/>
    <w:rsid w:val="7C5108A0"/>
    <w:rsid w:val="7CFA2353"/>
    <w:rsid w:val="7D101BE5"/>
    <w:rsid w:val="7DDD0C10"/>
    <w:rsid w:val="7E085DB2"/>
    <w:rsid w:val="7F1E4F70"/>
    <w:rsid w:val="7F2C7BAB"/>
    <w:rsid w:val="7F971794"/>
    <w:rsid w:val="7FEF7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next w:val="4"/>
    <w:autoRedefine/>
    <w:qFormat/>
    <w:uiPriority w:val="0"/>
    <w:pPr>
      <w:widowControl/>
      <w:adjustRightInd w:val="0"/>
      <w:snapToGrid w:val="0"/>
      <w:spacing w:after="120"/>
      <w:jc w:val="left"/>
    </w:pPr>
    <w:rPr>
      <w:rFonts w:ascii="Times New Roman" w:hAnsi="Times New Roman" w:eastAsia="宋体" w:cs="Times New Roman"/>
      <w:kern w:val="0"/>
      <w:sz w:val="22"/>
    </w:rPr>
  </w:style>
  <w:style w:type="paragraph" w:customStyle="1" w:styleId="4">
    <w:name w:val="目录 11"/>
    <w:next w:val="1"/>
    <w:autoRedefine/>
    <w:unhideWhenUsed/>
    <w:qFormat/>
    <w:uiPriority w:val="0"/>
    <w:pPr>
      <w:wordWrap w:val="0"/>
      <w:jc w:val="both"/>
    </w:pPr>
    <w:rPr>
      <w:rFonts w:ascii="Calibri" w:hAnsi="Calibri" w:eastAsia="宋体" w:cs="Times New Roman"/>
      <w:sz w:val="21"/>
      <w:lang w:val="en-US" w:eastAsia="zh-CN" w:bidi="ar-SA"/>
    </w:rPr>
  </w:style>
  <w:style w:type="paragraph" w:styleId="5">
    <w:name w:val="Date"/>
    <w:basedOn w:val="1"/>
    <w:next w:val="1"/>
    <w:link w:val="15"/>
    <w:autoRedefine/>
    <w:unhideWhenUsed/>
    <w:qFormat/>
    <w:uiPriority w:val="99"/>
    <w:pPr>
      <w:ind w:left="100" w:leftChars="2500"/>
    </w:pPr>
  </w:style>
  <w:style w:type="paragraph" w:styleId="6">
    <w:name w:val="footer"/>
    <w:basedOn w:val="1"/>
    <w:link w:val="14"/>
    <w:autoRedefine/>
    <w:unhideWhenUsed/>
    <w:qFormat/>
    <w:uiPriority w:val="99"/>
    <w:pPr>
      <w:tabs>
        <w:tab w:val="center" w:pos="4153"/>
        <w:tab w:val="right" w:pos="8306"/>
      </w:tabs>
      <w:snapToGrid w:val="0"/>
      <w:jc w:val="left"/>
    </w:pPr>
    <w:rPr>
      <w:sz w:val="18"/>
      <w:szCs w:val="18"/>
    </w:rPr>
  </w:style>
  <w:style w:type="paragraph" w:styleId="7">
    <w:name w:val="header"/>
    <w:basedOn w:val="1"/>
    <w:link w:val="1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rFonts w:cs="Times New Roman"/>
      <w:kern w:val="0"/>
      <w:sz w:val="24"/>
    </w:rPr>
  </w:style>
  <w:style w:type="character" w:styleId="11">
    <w:name w:val="Strong"/>
    <w:basedOn w:val="10"/>
    <w:qFormat/>
    <w:uiPriority w:val="0"/>
    <w:rPr>
      <w:b/>
    </w:rPr>
  </w:style>
  <w:style w:type="character" w:styleId="12">
    <w:name w:val="page number"/>
    <w:basedOn w:val="10"/>
    <w:autoRedefine/>
    <w:qFormat/>
    <w:uiPriority w:val="0"/>
  </w:style>
  <w:style w:type="character" w:customStyle="1" w:styleId="13">
    <w:name w:val="页眉 Char"/>
    <w:basedOn w:val="10"/>
    <w:link w:val="7"/>
    <w:autoRedefine/>
    <w:semiHidden/>
    <w:qFormat/>
    <w:uiPriority w:val="99"/>
    <w:rPr>
      <w:sz w:val="18"/>
      <w:szCs w:val="18"/>
    </w:rPr>
  </w:style>
  <w:style w:type="character" w:customStyle="1" w:styleId="14">
    <w:name w:val="页脚 Char"/>
    <w:basedOn w:val="10"/>
    <w:link w:val="6"/>
    <w:autoRedefine/>
    <w:semiHidden/>
    <w:qFormat/>
    <w:uiPriority w:val="99"/>
    <w:rPr>
      <w:sz w:val="18"/>
      <w:szCs w:val="18"/>
    </w:rPr>
  </w:style>
  <w:style w:type="character" w:customStyle="1" w:styleId="15">
    <w:name w:val="日期 Char"/>
    <w:basedOn w:val="10"/>
    <w:link w:val="5"/>
    <w:autoRedefine/>
    <w:semiHidden/>
    <w:qFormat/>
    <w:uiPriority w:val="99"/>
  </w:style>
  <w:style w:type="paragraph" w:customStyle="1" w:styleId="16">
    <w:name w:val="无间隔1"/>
    <w:basedOn w:val="1"/>
    <w:autoRedefine/>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Pages>
  <Words>2262</Words>
  <Characters>2309</Characters>
  <Lines>11</Lines>
  <Paragraphs>3</Paragraphs>
  <TotalTime>1064</TotalTime>
  <ScaleCrop>false</ScaleCrop>
  <LinksUpToDate>false</LinksUpToDate>
  <CharactersWithSpaces>2340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2018-01-02T03:47:00Z</dcterms:created>
  <dc:creator>User</dc:creator>
  <cp:lastModifiedBy>愚胖ér</cp:lastModifiedBy>
  <cp:lastPrinted>2025-12-29T01:16:00Z</cp:lastPrinted>
  <dcterms:modified xsi:type="dcterms:W3CDTF">2025-12-30T08:38:43Z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SaveFontToCloudKey">
    <vt:lpwstr>427950849_embed</vt:lpwstr>
  </property>
  <property fmtid="{D5CDD505-2E9C-101B-9397-08002B2CF9AE}" pid="4" name="ICV">
    <vt:lpwstr>1492B8F0B6DD49A4833BDE6EAC7EEF8F_13</vt:lpwstr>
  </property>
  <property fmtid="{D5CDD505-2E9C-101B-9397-08002B2CF9AE}" pid="5" name="KSOTemplateDocerSaveRecord">
    <vt:lpwstr>eyJoZGlkIjoiNWYyMTBlZWUyMGU0NmNiYjViOGM4ZGQ0ZGY0ZjRjNmYiLCJ1c2VySWQiOiI2ODM1NDM2OTkifQ==</vt:lpwstr>
  </property>
</Properties>
</file>