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黄崖洞镇</w:t>
      </w:r>
      <w:r>
        <w:rPr>
          <w:rFonts w:hint="eastAsia"/>
          <w:sz w:val="40"/>
          <w:szCs w:val="48"/>
        </w:rPr>
        <w:t>巩固成果和衔接乡村振兴项目</w:t>
      </w:r>
    </w:p>
    <w:p>
      <w:pPr>
        <w:jc w:val="center"/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计划完成情况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15"/>
        <w:gridCol w:w="632"/>
        <w:gridCol w:w="756"/>
        <w:gridCol w:w="564"/>
        <w:gridCol w:w="564"/>
        <w:gridCol w:w="1136"/>
        <w:gridCol w:w="583"/>
        <w:gridCol w:w="583"/>
        <w:gridCol w:w="1049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计划文号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项目名称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施工单位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计划金额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是否完工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已报账金额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其中</w:t>
            </w:r>
          </w:p>
        </w:tc>
        <w:tc>
          <w:tcPr>
            <w:tcW w:w="0" w:type="auto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联农带农情况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财政衔接资金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统筹整合资金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  <w:t>其他自筹资金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黎乡振组办发&lt;2023&gt;2号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山西黎城桶装水全自动灌装项目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长治市丹泉饮品有限公司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可带动全镇脱贫人口及监测户增收帮扶、脱贫人口及监测户临时救助，也可用于村级公益事业或扩大生产。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黎乡振组办发&lt;2023&gt;2号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东崖底村文旅产业服务项目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黎城永宏建筑有限公司、泰州禹创机械设备有限公司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29.568692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该项目实施后，提供二十多名就业岗位，增加农民年收入，同时增加村集体收入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黎乡振组办发&lt;2023&gt;2号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北陌村入资帅羊羊肉羊养殖项目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黎城帅洋洋家庭养殖农场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该项目实施后可带动村集体经济增收，增加脱贫人口收入，解决周边剩余劳动力10人就业问题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黎乡振组办发&lt;2023&gt;2号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下赤峪村特色民宿项目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长治市富思特装饰有限责任公司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17.944886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该项目实施后可带动村集体经济增收，增加脱贫人口收入，解决周边剩余劳动力就业问题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黎乡振组办发&lt;2023&gt;2号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清泉村水渠修复项目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山西安泰达水利建筑工程股份有限公司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2.490139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该项目实施后，可方便村民浇灌农田，增加粮食产量，带动村民经济收入，解决后续管护可剩余劳动力就业问题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黎巩固衔接办发&lt;2023&gt;18号 黎巩固衔接办发&lt;2023&gt;20号  黎巩固衔接办发&lt;2023&gt;25号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水峧村购买农机具项目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山西金牛永兴建筑安装股份有限公司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该项目可服务183户，带动脱贫人口33户78人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西头村采摘园基础设施建设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太原市新远航科技有限公司、宁晋县世超农业机械有限公司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19.28005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该项目实施后可带动村集体经济增收，增加脱贫人口收入，解决周边剩余劳动力就业问题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黎巩固衔接办发&lt;2023&gt;12号  黎乡振发&lt;2023&gt;4号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小寨村冀南银行研学基地设施配套项目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河北顺恒建设工程有限公司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大大提升小寨村金融品味，可为村民提供餐饮、住宿、保洁等就业岗位，同时增加村集体收入，带动村民增收致富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黎巩固衔接办发&lt;2023&gt;12号  黎乡振发&lt;2023&gt;4号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小寨村冀南银行旧址及周边提升改造项目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太原众益建筑工程有限公司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大大提升小寨村金融品味，可为村民提供餐饮、住宿、保洁等就业岗位，同时增加村集体收入，带动村民增收致富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下赤峪村特色民宿建设项目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黎城志昇建筑材料有限公司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该项目实施后可带动村集体经济增收，增加脱贫人口收入，解决周边剩余劳动力就业问题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东崖底村207国道两侧损毁路面硬化项目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山西山鼎建设工程有限公司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该项目实施后，扩大公路两侧容纳面积，方便群众生产生活需求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清泉村损毁街道道路修复项目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山西华投建设集团有限公司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21.634886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该项目实施后可改善村居整体环境，方便村民道路安全出行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黎巩固衔接办发&lt;2023&gt;17号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西村和平医院旧址修缮及标识制作项目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山西金牛永兴建筑安装股份有限公司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该项目实施后，可保护好遗址，改善村容村貌，同时接待游客，带动村集体增收，为脱贫户和监测户分红</w:t>
            </w:r>
          </w:p>
        </w:tc>
      </w:tr>
    </w:tbl>
    <w:p>
      <w:pPr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GY1ZGFjMmNjODI4MGNmZDczN2Q4ZjdlYmYzOTAifQ=="/>
  </w:docVars>
  <w:rsids>
    <w:rsidRoot w:val="00000000"/>
    <w:rsid w:val="060160DF"/>
    <w:rsid w:val="3A1B4970"/>
    <w:rsid w:val="5AA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2023-12-22T02:09:00Z</dcterms:created>
  <dc:creator>Administrator</dc:creator>
  <cp:lastModifiedBy>Administrator</cp:lastModifiedBy>
  <dcterms:modified xsi:type="dcterms:W3CDTF">2023-12-25T04:32:37Z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515A0BE6A60248869245AA48CFE4540D_13</vt:lpwstr>
  </property>
</Properties>
</file>